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7"/>
        <w:rPr>
          <w:rFonts w:ascii="Times New Roman"/>
          <w:sz w:val="24"/>
        </w:rPr>
      </w:pPr>
    </w:p>
    <w:p>
      <w:pPr>
        <w:pStyle w:val="BodyText"/>
        <w:spacing w:before="94"/>
        <w:ind w:left="248"/>
      </w:pPr>
      <w:r>
        <w:rPr/>
        <w:t>МЕЖГОСУДАРСТВЕННЫЙ СОВЕТ ПО СТАНДАРТИЗАЦИИ, МЕТРОЛОГИИ И СЕРТИФИКАЦИИ</w:t>
      </w:r>
    </w:p>
    <w:p>
      <w:pPr>
        <w:pStyle w:val="BodyText"/>
        <w:spacing w:before="15"/>
        <w:ind w:left="965" w:right="1078"/>
        <w:jc w:val="center"/>
      </w:pPr>
      <w:r>
        <w:rPr/>
        <w:t>(МГС)</w:t>
      </w:r>
    </w:p>
    <w:p>
      <w:pPr>
        <w:pStyle w:val="BodyText"/>
        <w:spacing w:line="276" w:lineRule="auto" w:before="15"/>
        <w:ind w:left="965" w:right="1078"/>
        <w:jc w:val="center"/>
      </w:pPr>
      <w:r>
        <w:rPr/>
        <w:t>INTERSTATE COUNCIL FOR STANDARDIZATION, METROLOGY AND CERTIFICATION (ISC)</w:t>
      </w:r>
    </w:p>
    <w:p>
      <w:pPr>
        <w:pStyle w:val="BodyText"/>
        <w:rPr>
          <w:sz w:val="20"/>
        </w:rPr>
      </w:pPr>
    </w:p>
    <w:p>
      <w:pPr>
        <w:pStyle w:val="BodyText"/>
        <w:spacing w:before="8"/>
        <w:rPr>
          <w:sz w:val="22"/>
        </w:rPr>
      </w:pPr>
    </w:p>
    <w:p>
      <w:pPr>
        <w:spacing w:after="0"/>
        <w:rPr>
          <w:sz w:val="22"/>
        </w:rPr>
        <w:sectPr>
          <w:headerReference w:type="default" r:id="rId5"/>
          <w:footerReference w:type="default" r:id="rId6"/>
          <w:type w:val="continuous"/>
          <w:pgSz w:w="11900" w:h="16840"/>
          <w:pgMar w:header="519" w:footer="515" w:top="720" w:bottom="700" w:left="860" w:right="1320"/>
        </w:sectPr>
      </w:pPr>
    </w:p>
    <w:p>
      <w:pPr>
        <w:pStyle w:val="BodyText"/>
        <w:rPr>
          <w:sz w:val="26"/>
        </w:rPr>
      </w:pPr>
    </w:p>
    <w:p>
      <w:pPr>
        <w:pStyle w:val="Heading1"/>
        <w:spacing w:line="266" w:lineRule="auto" w:before="191"/>
        <w:ind w:left="2103" w:hanging="1261"/>
      </w:pPr>
      <w:r>
        <w:rPr/>
        <w:t>М Е Ж Г О С У Д А Р С Т В Е Н Н Ы Й С Т А Н Д А Р Т </w:t>
      </w:r>
    </w:p>
    <w:p>
      <w:pPr>
        <w:spacing w:line="437" w:lineRule="exact" w:before="87"/>
        <w:ind w:left="860" w:right="0" w:firstLine="0"/>
        <w:jc w:val="left"/>
        <w:rPr>
          <w:b/>
          <w:sz w:val="40"/>
        </w:rPr>
      </w:pPr>
      <w:r>
        <w:rPr/>
        <w:br w:type="column"/>
      </w:r>
      <w:r>
        <w:rPr>
          <w:b/>
          <w:sz w:val="40"/>
        </w:rPr>
        <w:t>ГОСТ</w:t>
      </w:r>
    </w:p>
    <w:p>
      <w:pPr>
        <w:spacing w:line="425" w:lineRule="exact" w:before="0"/>
        <w:ind w:left="860" w:right="0" w:firstLine="0"/>
        <w:jc w:val="left"/>
        <w:rPr>
          <w:b/>
          <w:sz w:val="40"/>
        </w:rPr>
      </w:pPr>
      <w:r>
        <w:rPr>
          <w:b/>
          <w:sz w:val="40"/>
        </w:rPr>
        <w:t>IEC 62841-2-14-</w:t>
      </w:r>
    </w:p>
    <w:p>
      <w:pPr>
        <w:spacing w:line="402" w:lineRule="exact" w:before="0"/>
        <w:ind w:left="842" w:right="0" w:firstLine="0"/>
        <w:jc w:val="left"/>
        <w:rPr>
          <w:rFonts w:ascii="Times New Roman"/>
          <w:sz w:val="36"/>
        </w:rPr>
      </w:pPr>
      <w:r>
        <w:rPr>
          <w:rFonts w:ascii="Times New Roman"/>
          <w:sz w:val="36"/>
        </w:rPr>
        <w:t>2016</w:t>
      </w:r>
    </w:p>
    <w:p>
      <w:pPr>
        <w:spacing w:after="0" w:line="402" w:lineRule="exact"/>
        <w:jc w:val="left"/>
        <w:rPr>
          <w:rFonts w:ascii="Times New Roman"/>
          <w:sz w:val="36"/>
        </w:rPr>
        <w:sectPr>
          <w:type w:val="continuous"/>
          <w:pgSz w:w="11900" w:h="16840"/>
          <w:pgMar w:top="720" w:bottom="700" w:left="860" w:right="1320"/>
          <w:cols w:num="2" w:equalWidth="0">
            <w:col w:w="5237" w:space="280"/>
            <w:col w:w="4203"/>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p>
      <w:pPr>
        <w:spacing w:line="387" w:lineRule="exact" w:before="88"/>
        <w:ind w:left="965" w:right="1077" w:firstLine="0"/>
        <w:jc w:val="center"/>
        <w:rPr>
          <w:b/>
          <w:sz w:val="36"/>
        </w:rPr>
      </w:pPr>
      <w:r>
        <w:rPr>
          <w:b/>
          <w:sz w:val="36"/>
        </w:rPr>
        <w:t>Машины ручные, переносные</w:t>
      </w:r>
    </w:p>
    <w:p>
      <w:pPr>
        <w:spacing w:line="387" w:lineRule="exact" w:before="0"/>
        <w:ind w:left="963" w:right="1078" w:firstLine="0"/>
        <w:jc w:val="center"/>
        <w:rPr>
          <w:b/>
          <w:sz w:val="36"/>
        </w:rPr>
      </w:pPr>
      <w:r>
        <w:rPr>
          <w:b/>
          <w:sz w:val="36"/>
        </w:rPr>
        <w:t>и садово-огородные электрические</w:t>
      </w:r>
    </w:p>
    <w:p>
      <w:pPr>
        <w:spacing w:before="305"/>
        <w:ind w:left="0" w:right="44" w:firstLine="0"/>
        <w:jc w:val="center"/>
        <w:rPr>
          <w:b/>
          <w:sz w:val="40"/>
        </w:rPr>
      </w:pPr>
      <w:r>
        <w:rPr>
          <w:b/>
          <w:sz w:val="40"/>
        </w:rPr>
        <w:t>БЕЗОПАСНОСТЬ И МЕТОДЫ ИСПЫТАНИЙ</w:t>
      </w:r>
    </w:p>
    <w:p>
      <w:pPr>
        <w:tabs>
          <w:tab w:pos="1313" w:val="left" w:leader="none"/>
        </w:tabs>
        <w:spacing w:before="337"/>
        <w:ind w:left="0" w:right="105" w:firstLine="0"/>
        <w:jc w:val="center"/>
        <w:rPr>
          <w:sz w:val="26"/>
        </w:rPr>
      </w:pPr>
      <w:r>
        <w:rPr>
          <w:spacing w:val="16"/>
          <w:sz w:val="26"/>
        </w:rPr>
        <w:t>Ч а с</w:t>
      </w:r>
      <w:r>
        <w:rPr>
          <w:spacing w:val="-33"/>
          <w:sz w:val="26"/>
        </w:rPr>
        <w:t> </w:t>
      </w:r>
      <w:r>
        <w:rPr>
          <w:spacing w:val="16"/>
          <w:sz w:val="26"/>
        </w:rPr>
        <w:t>т</w:t>
      </w:r>
      <w:r>
        <w:rPr>
          <w:sz w:val="26"/>
        </w:rPr>
        <w:t> ь</w:t>
        <w:tab/>
        <w:t>2-14</w:t>
      </w:r>
    </w:p>
    <w:p>
      <w:pPr>
        <w:spacing w:before="183"/>
        <w:ind w:left="960" w:right="1078" w:firstLine="0"/>
        <w:jc w:val="center"/>
        <w:rPr>
          <w:b/>
          <w:sz w:val="36"/>
        </w:rPr>
      </w:pPr>
      <w:r>
        <w:rPr>
          <w:b/>
          <w:sz w:val="36"/>
        </w:rPr>
        <w:t>Частные требования к ручным рубанкам</w:t>
      </w:r>
    </w:p>
    <w:p>
      <w:pPr>
        <w:pStyle w:val="BodyText"/>
        <w:spacing w:before="4"/>
        <w:rPr>
          <w:b/>
          <w:sz w:val="36"/>
        </w:rPr>
      </w:pPr>
    </w:p>
    <w:p>
      <w:pPr>
        <w:pStyle w:val="Heading1"/>
        <w:spacing w:line="249" w:lineRule="auto"/>
        <w:ind w:left="0" w:right="112" w:firstLine="0"/>
        <w:jc w:val="center"/>
      </w:pPr>
      <w:r>
        <w:rPr/>
        <w:t>(IEC 62841-2-14:2015, Electric motor-operated hand-held tools, transportable tools</w:t>
      </w:r>
      <w:r>
        <w:rPr>
          <w:w w:val="100"/>
        </w:rPr>
        <w:t> </w:t>
      </w:r>
      <w:r>
        <w:rPr/>
        <w:t>and lawn and garden machinery — Safety — Part 2-14: Particular requirements</w:t>
      </w:r>
    </w:p>
    <w:p>
      <w:pPr>
        <w:spacing w:line="259" w:lineRule="exact" w:before="0"/>
        <w:ind w:left="947" w:right="1078" w:firstLine="0"/>
        <w:jc w:val="center"/>
        <w:rPr>
          <w:b/>
          <w:sz w:val="24"/>
        </w:rPr>
      </w:pPr>
      <w:r>
        <w:rPr>
          <w:b/>
          <w:sz w:val="24"/>
        </w:rPr>
        <w:t>for hand-held planers,</w:t>
      </w:r>
    </w:p>
    <w:p>
      <w:pPr>
        <w:spacing w:before="12"/>
        <w:ind w:left="965" w:right="1070" w:firstLine="0"/>
        <w:jc w:val="center"/>
        <w:rPr>
          <w:b/>
          <w:sz w:val="24"/>
        </w:rPr>
      </w:pPr>
      <w:r>
        <w:rPr>
          <w:b/>
          <w:sz w:val="24"/>
        </w:rPr>
        <w:t>IDT)</w:t>
      </w:r>
    </w:p>
    <w:p>
      <w:pPr>
        <w:pStyle w:val="BodyText"/>
        <w:rPr>
          <w:b/>
          <w:sz w:val="26"/>
        </w:rPr>
      </w:pPr>
    </w:p>
    <w:p>
      <w:pPr>
        <w:pStyle w:val="BodyText"/>
        <w:rPr>
          <w:b/>
          <w:sz w:val="26"/>
        </w:rPr>
      </w:pPr>
    </w:p>
    <w:p>
      <w:pPr>
        <w:pStyle w:val="BodyText"/>
        <w:spacing w:before="2"/>
        <w:rPr>
          <w:b/>
          <w:sz w:val="28"/>
        </w:rPr>
      </w:pPr>
    </w:p>
    <w:p>
      <w:pPr>
        <w:pStyle w:val="BodyText"/>
        <w:ind w:left="965" w:right="1078"/>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32" w:lineRule="auto" w:before="132"/>
        <w:ind w:left="4505" w:right="3658" w:hanging="24"/>
        <w:jc w:val="center"/>
        <w:rPr>
          <w:sz w:val="17"/>
        </w:rPr>
      </w:pPr>
      <w:r>
        <w:rPr/>
        <w:drawing>
          <wp:anchor distT="0" distB="0" distL="0" distR="0" allowOverlap="1" layoutInCell="1" locked="0" behindDoc="0" simplePos="0" relativeHeight="0">
            <wp:simplePos x="0" y="0"/>
            <wp:positionH relativeFrom="page">
              <wp:posOffset>2806700</wp:posOffset>
            </wp:positionH>
            <wp:positionV relativeFrom="paragraph">
              <wp:posOffset>107101</wp:posOffset>
            </wp:positionV>
            <wp:extent cx="445770" cy="36004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5770" cy="360045"/>
                    </a:xfrm>
                    <a:prstGeom prst="rect">
                      <a:avLst/>
                    </a:prstGeom>
                  </pic:spPr>
                </pic:pic>
              </a:graphicData>
            </a:graphic>
          </wp:anchor>
        </w:drawing>
      </w:r>
      <w:r>
        <w:rPr/>
        <w:t>Москва Стандартииформ </w:t>
      </w:r>
      <w:r>
        <w:rPr>
          <w:sz w:val="17"/>
        </w:rPr>
        <w:t>2017</w:t>
      </w:r>
    </w:p>
    <w:p>
      <w:pPr>
        <w:spacing w:after="0" w:line="232" w:lineRule="auto"/>
        <w:jc w:val="center"/>
        <w:rPr>
          <w:sz w:val="17"/>
        </w:rPr>
        <w:sectPr>
          <w:type w:val="continuous"/>
          <w:pgSz w:w="11900" w:h="16840"/>
          <w:pgMar w:top="720" w:bottom="700" w:left="860" w:right="1320"/>
        </w:sectPr>
      </w:pPr>
    </w:p>
    <w:p>
      <w:pPr>
        <w:pStyle w:val="BodyText"/>
        <w:rPr>
          <w:sz w:val="20"/>
        </w:rPr>
      </w:pPr>
    </w:p>
    <w:p>
      <w:pPr>
        <w:pStyle w:val="BodyText"/>
        <w:spacing w:before="9"/>
        <w:rPr>
          <w:sz w:val="20"/>
        </w:rPr>
      </w:pPr>
    </w:p>
    <w:p>
      <w:pPr>
        <w:pStyle w:val="BodyText"/>
        <w:ind w:left="142"/>
      </w:pPr>
      <w:r>
        <w:rPr/>
        <w:t>ГОСТ IEC 62841.2-14—2016</w:t>
      </w:r>
    </w:p>
    <w:p>
      <w:pPr>
        <w:pStyle w:val="BodyText"/>
        <w:spacing w:before="10"/>
        <w:rPr>
          <w:sz w:val="18"/>
        </w:rPr>
      </w:pPr>
    </w:p>
    <w:p>
      <w:pPr>
        <w:pStyle w:val="Heading1"/>
        <w:spacing w:before="93"/>
        <w:ind w:left="4124" w:right="4141" w:firstLine="0"/>
        <w:jc w:val="center"/>
      </w:pPr>
      <w:r>
        <w:rPr/>
        <w:t>Предисловие</w:t>
      </w:r>
    </w:p>
    <w:p>
      <w:pPr>
        <w:pStyle w:val="BodyText"/>
        <w:spacing w:before="10"/>
        <w:rPr>
          <w:b/>
          <w:sz w:val="23"/>
        </w:rPr>
      </w:pPr>
    </w:p>
    <w:p>
      <w:pPr>
        <w:pStyle w:val="BodyText"/>
        <w:spacing w:line="252" w:lineRule="auto"/>
        <w:ind w:left="125" w:right="154" w:firstLine="530"/>
        <w:jc w:val="both"/>
      </w:pPr>
      <w:r>
        <w:rPr/>
        <w:t>Цели, основные принципы и основной порядок проведения работ по межгосударственной стан­ дартизации установлены ГОСТ 1.0—2015 «Межгосударственная система стандартизации. Основные положения» и ГОСТ 1.2—2015 «Межгосударственная система стандартизации. Стандарты межгосу­ дарственные. правила и рекомендации по межгосударственной стандартизации. Правила разработки, принятия, обновления и отмены»</w:t>
      </w:r>
    </w:p>
    <w:p>
      <w:pPr>
        <w:pStyle w:val="BodyText"/>
        <w:spacing w:before="10"/>
        <w:rPr>
          <w:sz w:val="23"/>
        </w:rPr>
      </w:pPr>
    </w:p>
    <w:p>
      <w:pPr>
        <w:pStyle w:val="BodyText"/>
        <w:ind w:left="647"/>
      </w:pPr>
      <w:r>
        <w:rPr/>
        <w:t>Сведения о стандарте</w:t>
      </w:r>
    </w:p>
    <w:p>
      <w:pPr>
        <w:pStyle w:val="BodyText"/>
        <w:spacing w:before="2"/>
        <w:rPr>
          <w:sz w:val="23"/>
        </w:rPr>
      </w:pPr>
    </w:p>
    <w:p>
      <w:pPr>
        <w:pStyle w:val="ListParagraph"/>
        <w:numPr>
          <w:ilvl w:val="0"/>
          <w:numId w:val="1"/>
        </w:numPr>
        <w:tabs>
          <w:tab w:pos="983" w:val="left" w:leader="none"/>
        </w:tabs>
        <w:spacing w:line="256" w:lineRule="auto" w:before="1" w:after="0"/>
        <w:ind w:left="134" w:right="163" w:firstLine="522"/>
        <w:jc w:val="both"/>
        <w:rPr>
          <w:sz w:val="19"/>
        </w:rPr>
      </w:pPr>
      <w:r>
        <w:rPr>
          <w:sz w:val="19"/>
        </w:rPr>
        <w:t>ПОДГОТОВЛЕН Акционерным обществом «ИНТЕРСКОЛ» (АО «ИНТЕРСКОЛ») на основе собственного перевода на русский язык англоязычной версии стандарта, указанного в пункте</w:t>
      </w:r>
      <w:r>
        <w:rPr>
          <w:spacing w:val="-28"/>
          <w:sz w:val="19"/>
        </w:rPr>
        <w:t> </w:t>
      </w:r>
      <w:r>
        <w:rPr>
          <w:sz w:val="19"/>
        </w:rPr>
        <w:t>5</w:t>
      </w:r>
    </w:p>
    <w:p>
      <w:pPr>
        <w:pStyle w:val="BodyText"/>
        <w:spacing w:before="11"/>
        <w:rPr>
          <w:sz w:val="21"/>
        </w:rPr>
      </w:pPr>
    </w:p>
    <w:p>
      <w:pPr>
        <w:pStyle w:val="ListParagraph"/>
        <w:numPr>
          <w:ilvl w:val="0"/>
          <w:numId w:val="1"/>
        </w:numPr>
        <w:tabs>
          <w:tab w:pos="925" w:val="left" w:leader="none"/>
        </w:tabs>
        <w:spacing w:line="256" w:lineRule="auto" w:before="0" w:after="0"/>
        <w:ind w:left="134" w:right="199" w:firstLine="513"/>
        <w:jc w:val="both"/>
        <w:rPr>
          <w:sz w:val="19"/>
        </w:rPr>
      </w:pPr>
      <w:r>
        <w:rPr>
          <w:sz w:val="19"/>
        </w:rPr>
        <w:t>ВНЕСЕН Межгосударственным Техническим комитетом по стандартизации МТК 262  «Инстру­ мент механизированный и</w:t>
      </w:r>
      <w:r>
        <w:rPr>
          <w:spacing w:val="-7"/>
          <w:sz w:val="19"/>
        </w:rPr>
        <w:t> </w:t>
      </w:r>
      <w:r>
        <w:rPr>
          <w:sz w:val="19"/>
        </w:rPr>
        <w:t>ручной»</w:t>
      </w:r>
    </w:p>
    <w:p>
      <w:pPr>
        <w:pStyle w:val="BodyText"/>
        <w:spacing w:before="10"/>
        <w:rPr>
          <w:sz w:val="21"/>
        </w:rPr>
      </w:pPr>
    </w:p>
    <w:p>
      <w:pPr>
        <w:pStyle w:val="ListParagraph"/>
        <w:numPr>
          <w:ilvl w:val="0"/>
          <w:numId w:val="1"/>
        </w:numPr>
        <w:tabs>
          <w:tab w:pos="993" w:val="left" w:leader="none"/>
        </w:tabs>
        <w:spacing w:line="256" w:lineRule="auto" w:before="1" w:after="0"/>
        <w:ind w:left="134" w:right="160" w:firstLine="513"/>
        <w:jc w:val="both"/>
        <w:rPr>
          <w:sz w:val="19"/>
        </w:rPr>
      </w:pPr>
      <w:r>
        <w:rPr>
          <w:sz w:val="19"/>
        </w:rPr>
        <w:t>ПРИНЯТ Межгосударственным советом по стандартизации, метрологии и сертификации (протокол от 27 сентября 2016 г. Не</w:t>
      </w:r>
      <w:r>
        <w:rPr>
          <w:spacing w:val="-5"/>
          <w:sz w:val="19"/>
        </w:rPr>
        <w:t> </w:t>
      </w:r>
      <w:r>
        <w:rPr>
          <w:sz w:val="19"/>
        </w:rPr>
        <w:t>91-П)</w:t>
      </w:r>
    </w:p>
    <w:p>
      <w:pPr>
        <w:pStyle w:val="BodyText"/>
        <w:spacing w:before="11"/>
        <w:rPr>
          <w:sz w:val="21"/>
        </w:rPr>
      </w:pPr>
    </w:p>
    <w:p>
      <w:pPr>
        <w:pStyle w:val="BodyText"/>
        <w:ind w:left="656"/>
      </w:pPr>
      <w:r>
        <w:rPr/>
        <w:t>За принятие проголосовали:</w:t>
      </w:r>
    </w:p>
    <w:p>
      <w:pPr>
        <w:pStyle w:val="BodyText"/>
        <w:spacing w:before="4"/>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7"/>
        <w:gridCol w:w="2232"/>
        <w:gridCol w:w="4986"/>
      </w:tblGrid>
      <w:tr>
        <w:trPr>
          <w:trHeight w:val="600" w:hRule="atLeast"/>
        </w:trPr>
        <w:tc>
          <w:tcPr>
            <w:tcW w:w="2457" w:type="dxa"/>
          </w:tcPr>
          <w:p>
            <w:pPr>
              <w:pStyle w:val="TableParagraph"/>
              <w:spacing w:line="242" w:lineRule="auto" w:before="96"/>
              <w:ind w:left="194" w:right="-18" w:hanging="193"/>
              <w:rPr>
                <w:sz w:val="17"/>
              </w:rPr>
            </w:pPr>
            <w:r>
              <w:rPr>
                <w:sz w:val="17"/>
              </w:rPr>
              <w:t>Краткое наименование страны по МК &lt;ИСО 3166) 004-97</w:t>
            </w:r>
          </w:p>
        </w:tc>
        <w:tc>
          <w:tcPr>
            <w:tcW w:w="2232" w:type="dxa"/>
          </w:tcPr>
          <w:p>
            <w:pPr>
              <w:pStyle w:val="TableParagraph"/>
              <w:spacing w:before="96"/>
              <w:ind w:left="69" w:right="76"/>
              <w:jc w:val="center"/>
              <w:rPr>
                <w:sz w:val="17"/>
              </w:rPr>
            </w:pPr>
            <w:r>
              <w:rPr>
                <w:sz w:val="17"/>
              </w:rPr>
              <w:t>Код страны</w:t>
            </w:r>
          </w:p>
          <w:p>
            <w:pPr>
              <w:pStyle w:val="TableParagraph"/>
              <w:spacing w:before="2"/>
              <w:ind w:left="91" w:right="76"/>
              <w:jc w:val="center"/>
              <w:rPr>
                <w:sz w:val="17"/>
              </w:rPr>
            </w:pPr>
            <w:r>
              <w:rPr>
                <w:sz w:val="17"/>
              </w:rPr>
              <w:t>по МК (ИСО 3166) 004-97</w:t>
            </w:r>
          </w:p>
        </w:tc>
        <w:tc>
          <w:tcPr>
            <w:tcW w:w="4986" w:type="dxa"/>
          </w:tcPr>
          <w:p>
            <w:pPr>
              <w:pStyle w:val="TableParagraph"/>
              <w:spacing w:line="242" w:lineRule="auto" w:before="96"/>
              <w:ind w:left="1717" w:right="277" w:hanging="1301"/>
              <w:rPr>
                <w:sz w:val="17"/>
              </w:rPr>
            </w:pPr>
            <w:r>
              <w:rPr>
                <w:sz w:val="17"/>
              </w:rPr>
              <w:t>Сокращенное наименование национального органа по стандартизации</w:t>
            </w:r>
          </w:p>
        </w:tc>
      </w:tr>
      <w:tr>
        <w:trPr>
          <w:trHeight w:val="240" w:hRule="atLeast"/>
        </w:trPr>
        <w:tc>
          <w:tcPr>
            <w:tcW w:w="2457" w:type="dxa"/>
            <w:tcBorders>
              <w:bottom w:val="nil"/>
            </w:tcBorders>
          </w:tcPr>
          <w:p>
            <w:pPr>
              <w:pStyle w:val="TableParagraph"/>
              <w:spacing w:line="175" w:lineRule="exact" w:before="60"/>
              <w:ind w:left="291"/>
              <w:rPr>
                <w:sz w:val="17"/>
              </w:rPr>
            </w:pPr>
            <w:r>
              <w:rPr>
                <w:sz w:val="17"/>
              </w:rPr>
              <w:t>Армения</w:t>
            </w:r>
          </w:p>
        </w:tc>
        <w:tc>
          <w:tcPr>
            <w:tcW w:w="2232" w:type="dxa"/>
            <w:tcBorders>
              <w:bottom w:val="nil"/>
            </w:tcBorders>
          </w:tcPr>
          <w:p>
            <w:pPr>
              <w:pStyle w:val="TableParagraph"/>
              <w:spacing w:line="175" w:lineRule="exact" w:before="60"/>
              <w:ind w:left="970"/>
              <w:rPr>
                <w:sz w:val="17"/>
              </w:rPr>
            </w:pPr>
            <w:r>
              <w:rPr>
                <w:sz w:val="17"/>
              </w:rPr>
              <w:t>AM</w:t>
            </w:r>
          </w:p>
        </w:tc>
        <w:tc>
          <w:tcPr>
            <w:tcW w:w="4986" w:type="dxa"/>
            <w:tcBorders>
              <w:bottom w:val="nil"/>
            </w:tcBorders>
          </w:tcPr>
          <w:p>
            <w:pPr>
              <w:pStyle w:val="TableParagraph"/>
              <w:spacing w:line="175" w:lineRule="exact" w:before="60"/>
              <w:ind w:left="283"/>
              <w:rPr>
                <w:sz w:val="17"/>
              </w:rPr>
            </w:pPr>
            <w:r>
              <w:rPr>
                <w:sz w:val="17"/>
              </w:rPr>
              <w:t>Минэкономики Республики Армении</w:t>
            </w:r>
          </w:p>
        </w:tc>
      </w:tr>
      <w:tr>
        <w:trPr>
          <w:trHeight w:val="200" w:hRule="atLeast"/>
        </w:trPr>
        <w:tc>
          <w:tcPr>
            <w:tcW w:w="2457" w:type="dxa"/>
            <w:tcBorders>
              <w:top w:val="nil"/>
              <w:bottom w:val="nil"/>
            </w:tcBorders>
          </w:tcPr>
          <w:p>
            <w:pPr>
              <w:pStyle w:val="TableParagraph"/>
              <w:spacing w:line="180" w:lineRule="exact" w:before="2"/>
              <w:ind w:left="301"/>
              <w:rPr>
                <w:sz w:val="17"/>
              </w:rPr>
            </w:pPr>
            <w:r>
              <w:rPr>
                <w:sz w:val="17"/>
              </w:rPr>
              <w:t>Беларусь</w:t>
            </w:r>
          </w:p>
        </w:tc>
        <w:tc>
          <w:tcPr>
            <w:tcW w:w="2232" w:type="dxa"/>
            <w:tcBorders>
              <w:top w:val="nil"/>
              <w:bottom w:val="nil"/>
            </w:tcBorders>
          </w:tcPr>
          <w:p>
            <w:pPr>
              <w:pStyle w:val="TableParagraph"/>
              <w:spacing w:line="182" w:lineRule="exact"/>
              <w:ind w:left="989"/>
              <w:rPr>
                <w:sz w:val="17"/>
              </w:rPr>
            </w:pPr>
            <w:r>
              <w:rPr>
                <w:sz w:val="17"/>
              </w:rPr>
              <w:t>BY</w:t>
            </w:r>
          </w:p>
        </w:tc>
        <w:tc>
          <w:tcPr>
            <w:tcW w:w="4986" w:type="dxa"/>
            <w:tcBorders>
              <w:top w:val="nil"/>
              <w:bottom w:val="nil"/>
            </w:tcBorders>
          </w:tcPr>
          <w:p>
            <w:pPr>
              <w:pStyle w:val="TableParagraph"/>
              <w:spacing w:line="180" w:lineRule="exact" w:before="2"/>
              <w:ind w:left="283"/>
              <w:rPr>
                <w:sz w:val="17"/>
              </w:rPr>
            </w:pPr>
            <w:r>
              <w:rPr>
                <w:sz w:val="17"/>
              </w:rPr>
              <w:t>Госстандарт Республики Беларусь</w:t>
            </w:r>
          </w:p>
        </w:tc>
      </w:tr>
      <w:tr>
        <w:trPr>
          <w:trHeight w:val="180" w:hRule="atLeast"/>
        </w:trPr>
        <w:tc>
          <w:tcPr>
            <w:tcW w:w="2457" w:type="dxa"/>
            <w:tcBorders>
              <w:top w:val="nil"/>
              <w:bottom w:val="nil"/>
            </w:tcBorders>
          </w:tcPr>
          <w:p>
            <w:pPr>
              <w:pStyle w:val="TableParagraph"/>
              <w:spacing w:line="178" w:lineRule="exact"/>
              <w:ind w:left="301"/>
              <w:rPr>
                <w:sz w:val="17"/>
              </w:rPr>
            </w:pPr>
            <w:r>
              <w:rPr>
                <w:sz w:val="17"/>
              </w:rPr>
              <w:t>Киргизия</w:t>
            </w:r>
          </w:p>
        </w:tc>
        <w:tc>
          <w:tcPr>
            <w:tcW w:w="2232" w:type="dxa"/>
            <w:tcBorders>
              <w:top w:val="nil"/>
              <w:bottom w:val="nil"/>
            </w:tcBorders>
          </w:tcPr>
          <w:p>
            <w:pPr>
              <w:pStyle w:val="TableParagraph"/>
              <w:spacing w:line="178" w:lineRule="exact"/>
              <w:ind w:left="980"/>
              <w:rPr>
                <w:sz w:val="17"/>
              </w:rPr>
            </w:pPr>
            <w:r>
              <w:rPr>
                <w:sz w:val="17"/>
              </w:rPr>
              <w:t>KG</w:t>
            </w:r>
          </w:p>
        </w:tc>
        <w:tc>
          <w:tcPr>
            <w:tcW w:w="4986" w:type="dxa"/>
            <w:tcBorders>
              <w:top w:val="nil"/>
              <w:bottom w:val="nil"/>
            </w:tcBorders>
          </w:tcPr>
          <w:p>
            <w:pPr>
              <w:pStyle w:val="TableParagraph"/>
              <w:spacing w:line="178" w:lineRule="exact"/>
              <w:ind w:left="283"/>
              <w:rPr>
                <w:sz w:val="17"/>
              </w:rPr>
            </w:pPr>
            <w:r>
              <w:rPr>
                <w:sz w:val="17"/>
              </w:rPr>
              <w:t>Кыргыэствндврт</w:t>
            </w:r>
          </w:p>
        </w:tc>
      </w:tr>
      <w:tr>
        <w:trPr>
          <w:trHeight w:val="200" w:hRule="atLeast"/>
        </w:trPr>
        <w:tc>
          <w:tcPr>
            <w:tcW w:w="2457" w:type="dxa"/>
            <w:tcBorders>
              <w:top w:val="nil"/>
              <w:bottom w:val="nil"/>
            </w:tcBorders>
          </w:tcPr>
          <w:p>
            <w:pPr>
              <w:pStyle w:val="TableParagraph"/>
              <w:spacing w:line="187" w:lineRule="exact"/>
              <w:ind w:left="301"/>
              <w:rPr>
                <w:sz w:val="17"/>
              </w:rPr>
            </w:pPr>
            <w:r>
              <w:rPr>
                <w:sz w:val="17"/>
              </w:rPr>
              <w:t>Россия</w:t>
            </w:r>
          </w:p>
        </w:tc>
        <w:tc>
          <w:tcPr>
            <w:tcW w:w="2232" w:type="dxa"/>
            <w:tcBorders>
              <w:top w:val="nil"/>
              <w:bottom w:val="nil"/>
            </w:tcBorders>
          </w:tcPr>
          <w:p>
            <w:pPr>
              <w:pStyle w:val="TableParagraph"/>
              <w:spacing w:line="187" w:lineRule="exact"/>
              <w:ind w:left="979"/>
              <w:rPr>
                <w:sz w:val="17"/>
              </w:rPr>
            </w:pPr>
            <w:r>
              <w:rPr>
                <w:sz w:val="17"/>
              </w:rPr>
              <w:t>RU</w:t>
            </w:r>
          </w:p>
        </w:tc>
        <w:tc>
          <w:tcPr>
            <w:tcW w:w="4986" w:type="dxa"/>
            <w:tcBorders>
              <w:top w:val="nil"/>
              <w:bottom w:val="nil"/>
            </w:tcBorders>
          </w:tcPr>
          <w:p>
            <w:pPr>
              <w:pStyle w:val="TableParagraph"/>
              <w:spacing w:line="187" w:lineRule="exact"/>
              <w:ind w:left="283"/>
              <w:rPr>
                <w:sz w:val="17"/>
              </w:rPr>
            </w:pPr>
            <w:r>
              <w:rPr>
                <w:sz w:val="17"/>
              </w:rPr>
              <w:t>Росстакдарт</w:t>
            </w:r>
          </w:p>
        </w:tc>
      </w:tr>
      <w:tr>
        <w:trPr>
          <w:trHeight w:val="240" w:hRule="atLeast"/>
        </w:trPr>
        <w:tc>
          <w:tcPr>
            <w:tcW w:w="2457" w:type="dxa"/>
            <w:tcBorders>
              <w:top w:val="nil"/>
            </w:tcBorders>
          </w:tcPr>
          <w:p>
            <w:pPr>
              <w:pStyle w:val="TableParagraph"/>
              <w:spacing w:before="7"/>
              <w:ind w:left="301"/>
              <w:rPr>
                <w:sz w:val="17"/>
              </w:rPr>
            </w:pPr>
            <w:r>
              <w:rPr>
                <w:sz w:val="17"/>
              </w:rPr>
              <w:t>Таджикистан</w:t>
            </w:r>
          </w:p>
        </w:tc>
        <w:tc>
          <w:tcPr>
            <w:tcW w:w="2232" w:type="dxa"/>
            <w:tcBorders>
              <w:top w:val="nil"/>
            </w:tcBorders>
          </w:tcPr>
          <w:p>
            <w:pPr>
              <w:pStyle w:val="TableParagraph"/>
              <w:spacing w:before="7"/>
              <w:ind w:left="1008"/>
              <w:rPr>
                <w:sz w:val="17"/>
              </w:rPr>
            </w:pPr>
            <w:r>
              <w:rPr>
                <w:sz w:val="17"/>
              </w:rPr>
              <w:t>TJ</w:t>
            </w:r>
          </w:p>
        </w:tc>
        <w:tc>
          <w:tcPr>
            <w:tcW w:w="4986" w:type="dxa"/>
            <w:tcBorders>
              <w:top w:val="nil"/>
            </w:tcBorders>
          </w:tcPr>
          <w:p>
            <w:pPr>
              <w:pStyle w:val="TableParagraph"/>
              <w:spacing w:before="7"/>
              <w:ind w:left="283"/>
              <w:rPr>
                <w:sz w:val="17"/>
              </w:rPr>
            </w:pPr>
            <w:r>
              <w:rPr>
                <w:sz w:val="17"/>
              </w:rPr>
              <w:t>Твджикстакдарт</w:t>
            </w:r>
          </w:p>
        </w:tc>
      </w:tr>
    </w:tbl>
    <w:p>
      <w:pPr>
        <w:pStyle w:val="BodyText"/>
        <w:spacing w:before="10"/>
        <w:rPr>
          <w:sz w:val="27"/>
        </w:rPr>
      </w:pPr>
    </w:p>
    <w:p>
      <w:pPr>
        <w:pStyle w:val="ListParagraph"/>
        <w:numPr>
          <w:ilvl w:val="0"/>
          <w:numId w:val="1"/>
        </w:numPr>
        <w:tabs>
          <w:tab w:pos="919" w:val="left" w:leader="none"/>
        </w:tabs>
        <w:spacing w:line="256" w:lineRule="auto" w:before="0" w:after="0"/>
        <w:ind w:left="134" w:right="160" w:firstLine="503"/>
        <w:jc w:val="both"/>
        <w:rPr>
          <w:sz w:val="19"/>
        </w:rPr>
      </w:pPr>
      <w:r>
        <w:rPr>
          <w:sz w:val="19"/>
        </w:rPr>
        <w:t>Приказом Федерального агентства по техническому регулированию и метрологии от 17 марта 2017 г. № 145-ст межгосударственный стандарт ГОСТ IEC 62841-2-14—2016 введен в  действие  в  качестве национального стандарта Российской Федерации с 1 января 2018</w:t>
      </w:r>
      <w:r>
        <w:rPr>
          <w:spacing w:val="-23"/>
          <w:sz w:val="19"/>
        </w:rPr>
        <w:t> </w:t>
      </w:r>
      <w:r>
        <w:rPr>
          <w:sz w:val="19"/>
        </w:rPr>
        <w:t>г.</w:t>
      </w:r>
    </w:p>
    <w:p>
      <w:pPr>
        <w:pStyle w:val="BodyText"/>
        <w:spacing w:before="10"/>
        <w:rPr>
          <w:sz w:val="21"/>
        </w:rPr>
      </w:pPr>
    </w:p>
    <w:p>
      <w:pPr>
        <w:pStyle w:val="ListParagraph"/>
        <w:numPr>
          <w:ilvl w:val="0"/>
          <w:numId w:val="1"/>
        </w:numPr>
        <w:tabs>
          <w:tab w:pos="952" w:val="left" w:leader="none"/>
        </w:tabs>
        <w:spacing w:line="252" w:lineRule="auto" w:before="1" w:after="0"/>
        <w:ind w:left="134" w:right="154" w:firstLine="513"/>
        <w:jc w:val="both"/>
        <w:rPr>
          <w:sz w:val="19"/>
        </w:rPr>
      </w:pPr>
      <w:r>
        <w:rPr>
          <w:sz w:val="19"/>
        </w:rPr>
        <w:t>Настоящий стандарт идентичен международному стандарту IEC 62841-2-14:2015 «Электро­ инструменты ручные с приводом от двигателя, передвижные инструменты и садово-огородное оборудо­ вание. Безопасность. Часть 2-14. Частные требования к ручным продольно-строгальным станкам» («Electric motor-operated hand-held tools, transportable tools and lawn and garden machinery — Safety —      Part 2-14: Particular requirements for hand-held planers»,</w:t>
      </w:r>
      <w:r>
        <w:rPr>
          <w:spacing w:val="-1"/>
          <w:sz w:val="19"/>
        </w:rPr>
        <w:t> </w:t>
      </w:r>
      <w:r>
        <w:rPr>
          <w:sz w:val="19"/>
        </w:rPr>
        <w:t>IDT).</w:t>
      </w:r>
    </w:p>
    <w:p>
      <w:pPr>
        <w:pStyle w:val="BodyText"/>
        <w:spacing w:line="247" w:lineRule="auto" w:before="23"/>
        <w:ind w:left="134" w:right="201" w:firstLine="521"/>
        <w:jc w:val="both"/>
      </w:pPr>
      <w:r>
        <w:rPr/>
        <w:t>Международный стандарт разработан техническим комитетом Межгосударственной электротех­ нической комиссии IEC/TC116 «Safety of motor-operated electric tools» («Безопасность ручного электри­ ческого механизированного инструмента»).</w:t>
      </w:r>
    </w:p>
    <w:p>
      <w:pPr>
        <w:pStyle w:val="BodyText"/>
        <w:spacing w:line="247" w:lineRule="auto" w:before="27"/>
        <w:ind w:left="134" w:right="145" w:firstLine="513"/>
        <w:jc w:val="both"/>
      </w:pPr>
      <w:r>
        <w:rPr/>
        <w:t>Официальные экземпляры международного стандарта, на основе  которого  подготовлен  настоя­ щий межгосударственный стандарт, и международного стандарта, на который дана ссылка, имеются в Федеральном информационном фонде технических регламентов и</w:t>
      </w:r>
      <w:r>
        <w:rPr>
          <w:spacing w:val="-32"/>
        </w:rPr>
        <w:t> </w:t>
      </w:r>
      <w:r>
        <w:rPr/>
        <w:t>стандартов.</w:t>
      </w:r>
    </w:p>
    <w:p>
      <w:pPr>
        <w:pStyle w:val="BodyText"/>
        <w:spacing w:line="256" w:lineRule="auto" w:before="27"/>
        <w:ind w:left="134" w:right="196" w:firstLine="513"/>
        <w:jc w:val="both"/>
      </w:pPr>
      <w:r>
        <w:rPr/>
        <w:t>Сведения о соответствии ссылочных международных стандартов  межгосударственным  стандар­ там приведены в дополнительном приложении ДА.</w:t>
      </w:r>
    </w:p>
    <w:p>
      <w:pPr>
        <w:pStyle w:val="BodyText"/>
        <w:spacing w:line="256" w:lineRule="auto"/>
        <w:ind w:left="134" w:right="202" w:firstLine="521"/>
        <w:jc w:val="both"/>
      </w:pPr>
      <w:r>
        <w:rPr/>
        <w:t>Наименование настоящего стандарта изменено относительно наименования указанного между­ народного стандарта для приведения в соответствие с ГОСТ 1.5—2001 (подраздел 3.6).</w:t>
      </w:r>
    </w:p>
    <w:p>
      <w:pPr>
        <w:pStyle w:val="BodyText"/>
        <w:spacing w:line="247" w:lineRule="auto" w:before="18"/>
        <w:ind w:left="134" w:right="160" w:firstLine="521"/>
        <w:jc w:val="both"/>
      </w:pPr>
      <w:r>
        <w:rPr/>
        <w:t>Настоящий межгосударственный стандарт езаимосвязанс техническими регламентами  Таможен­ ного союза ТР ТС 010/2011 «О безопасности машин и оборудования». ТР ТС 004/2011 «О безопасности низковольтного оборудования» и реализует их требования безопасности</w:t>
      </w:r>
    </w:p>
    <w:p>
      <w:pPr>
        <w:pStyle w:val="BodyText"/>
        <w:spacing w:before="5"/>
        <w:rPr>
          <w:sz w:val="23"/>
        </w:rPr>
      </w:pPr>
    </w:p>
    <w:p>
      <w:pPr>
        <w:pStyle w:val="BodyText"/>
        <w:ind w:left="647"/>
      </w:pPr>
      <w:r>
        <w:rPr/>
        <w:t>6   ВЗАМЕН ГОСТ IEC 60745-2-14—2014</w:t>
      </w:r>
    </w:p>
    <w:p>
      <w:pPr>
        <w:spacing w:after="0"/>
        <w:sectPr>
          <w:headerReference w:type="default" r:id="rId8"/>
          <w:pgSz w:w="11900" w:h="16840"/>
          <w:pgMar w:header="520" w:footer="515" w:top="700" w:bottom="720" w:left="1280" w:right="700"/>
        </w:sectPr>
      </w:pPr>
    </w:p>
    <w:p>
      <w:pPr>
        <w:pStyle w:val="BodyText"/>
        <w:rPr>
          <w:sz w:val="20"/>
        </w:rPr>
      </w:pPr>
    </w:p>
    <w:p>
      <w:pPr>
        <w:pStyle w:val="BodyText"/>
        <w:spacing w:before="1"/>
        <w:rPr>
          <w:sz w:val="20"/>
        </w:rPr>
      </w:pPr>
    </w:p>
    <w:p>
      <w:pPr>
        <w:pStyle w:val="BodyText"/>
        <w:ind w:right="204"/>
        <w:jc w:val="right"/>
      </w:pPr>
      <w:r>
        <w:rPr/>
        <w:t>ГОСТ 1ЕС 62941.2-14—2016</w:t>
      </w:r>
    </w:p>
    <w:p>
      <w:pPr>
        <w:pStyle w:val="BodyText"/>
        <w:spacing w:before="8"/>
        <w:rPr>
          <w:sz w:val="24"/>
        </w:rPr>
      </w:pPr>
    </w:p>
    <w:p>
      <w:pPr>
        <w:spacing w:line="252" w:lineRule="auto" w:before="1"/>
        <w:ind w:left="126" w:right="173" w:firstLine="513"/>
        <w:jc w:val="left"/>
        <w:rPr>
          <w:i/>
          <w:sz w:val="19"/>
        </w:rPr>
      </w:pPr>
      <w:r>
        <w:rPr>
          <w:i/>
          <w:sz w:val="19"/>
        </w:rPr>
        <w:t>Информация об изменениях к настоящему стандарту публикуется в ежегодном информацион-  </w:t>
      </w:r>
      <w:r>
        <w:rPr>
          <w:i/>
          <w:sz w:val="19"/>
        </w:rPr>
        <w:t>ном указателе «Национальные стандарты». а текст изменений и поправок</w:t>
      </w:r>
      <w:r>
        <w:rPr>
          <w:sz w:val="19"/>
        </w:rPr>
        <w:t>— </w:t>
      </w:r>
      <w:r>
        <w:rPr>
          <w:i/>
          <w:sz w:val="19"/>
        </w:rPr>
        <w:t>е ежемесячном инфор­ </w:t>
      </w:r>
      <w:r>
        <w:rPr>
          <w:i/>
          <w:sz w:val="19"/>
        </w:rPr>
        <w:t>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 домление и тексты размещаются также в информационной системе общего пользования </w:t>
      </w:r>
      <w:r>
        <w:rPr>
          <w:sz w:val="19"/>
        </w:rPr>
        <w:t>— </w:t>
      </w:r>
      <w:r>
        <w:rPr>
          <w:i/>
          <w:sz w:val="19"/>
        </w:rPr>
        <w:t>на офи­ </w:t>
      </w:r>
      <w:r>
        <w:rPr>
          <w:i/>
          <w:sz w:val="19"/>
        </w:rPr>
        <w:t>циальном сайте Федерального агентства по техническому регулированию и метрологии в сети Интернет</w:t>
      </w:r>
      <w:r>
        <w:rPr>
          <w:i/>
          <w:spacing w:val="-7"/>
          <w:sz w:val="19"/>
        </w:rPr>
        <w:t> </w:t>
      </w:r>
      <w:r>
        <w:rPr>
          <w:i/>
          <w:sz w:val="19"/>
        </w:rPr>
        <w:t>(</w:t>
      </w:r>
      <w:hyperlink r:id="rId9">
        <w:r>
          <w:rPr>
            <w:i/>
            <w:sz w:val="19"/>
          </w:rPr>
          <w:t>www.gost.ru</w:t>
        </w:r>
      </w:hyperlink>
      <w:r>
        <w:rPr>
          <w:i/>
          <w:sz w:val="19"/>
        </w:rPr>
        <w: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sz w:val="26"/>
        </w:rPr>
      </w:pPr>
    </w:p>
    <w:p>
      <w:pPr>
        <w:pStyle w:val="BodyText"/>
        <w:spacing w:line="470" w:lineRule="atLeast"/>
        <w:ind w:left="640" w:right="122" w:firstLine="6842"/>
        <w:jc w:val="right"/>
      </w:pPr>
      <w:r>
        <w:rPr/>
        <w:t>© Стандартинформ. 2017</w:t>
      </w:r>
      <w:r>
        <w:rPr>
          <w:w w:val="99"/>
        </w:rPr>
        <w:t> </w:t>
      </w:r>
      <w:r>
        <w:rPr/>
        <w:t>8 Российской Федерации настоящий стандарт не может быть полностью или частично воспроизве­</w:t>
      </w:r>
    </w:p>
    <w:p>
      <w:pPr>
        <w:pStyle w:val="BodyText"/>
        <w:spacing w:line="237" w:lineRule="auto" w:before="17"/>
        <w:ind w:left="118" w:right="173"/>
      </w:pPr>
      <w:r>
        <w:rPr/>
        <w:t>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pStyle w:val="BodyText"/>
        <w:spacing w:before="159"/>
        <w:ind w:right="120"/>
        <w:jc w:val="right"/>
      </w:pPr>
      <w:r>
        <w:rPr/>
        <w:t>ш</w:t>
      </w:r>
    </w:p>
    <w:p>
      <w:pPr>
        <w:spacing w:after="0"/>
        <w:jc w:val="right"/>
        <w:sectPr>
          <w:pgSz w:w="11900" w:h="16840"/>
          <w:pgMar w:header="520" w:footer="515" w:top="720" w:bottom="720" w:left="720" w:right="1300"/>
        </w:sectPr>
      </w:pPr>
    </w:p>
    <w:p>
      <w:pPr>
        <w:pStyle w:val="BodyText"/>
        <w:rPr>
          <w:sz w:val="20"/>
        </w:rPr>
      </w:pPr>
    </w:p>
    <w:p>
      <w:pPr>
        <w:pStyle w:val="BodyText"/>
        <w:spacing w:before="5"/>
        <w:rPr>
          <w:sz w:val="20"/>
        </w:rPr>
      </w:pPr>
    </w:p>
    <w:p>
      <w:pPr>
        <w:pStyle w:val="BodyText"/>
        <w:ind w:left="122"/>
      </w:pPr>
      <w:r>
        <w:rPr/>
        <w:t>ГОСТ IEC 62841-2.14—2016</w:t>
      </w:r>
    </w:p>
    <w:p>
      <w:pPr>
        <w:pStyle w:val="BodyText"/>
        <w:spacing w:before="9"/>
        <w:rPr>
          <w:sz w:val="15"/>
        </w:rPr>
      </w:pPr>
    </w:p>
    <w:p>
      <w:pPr>
        <w:pStyle w:val="Heading1"/>
        <w:spacing w:before="92"/>
        <w:ind w:left="4168" w:right="4069" w:firstLine="0"/>
        <w:jc w:val="center"/>
      </w:pPr>
      <w:r>
        <w:rPr/>
        <w:t>Содержание</w:t>
      </w:r>
    </w:p>
    <w:sdt>
      <w:sdtPr>
        <w:docPartObj>
          <w:docPartGallery w:val="Table of Contents"/>
          <w:docPartUnique/>
        </w:docPartObj>
      </w:sdtPr>
      <w:sdtEndPr/>
      <w:sdtContent>
        <w:p>
          <w:pPr>
            <w:pStyle w:val="TOC1"/>
            <w:numPr>
              <w:ilvl w:val="0"/>
              <w:numId w:val="2"/>
            </w:numPr>
            <w:tabs>
              <w:tab w:pos="339" w:val="left" w:leader="none"/>
              <w:tab w:pos="9509" w:val="left" w:leader="dot"/>
            </w:tabs>
            <w:spacing w:line="240" w:lineRule="auto" w:before="238" w:after="0"/>
            <w:ind w:left="338" w:right="0" w:hanging="206"/>
            <w:jc w:val="left"/>
          </w:pPr>
          <w:hyperlink w:history="true" w:anchor="_bookmark0">
            <w:r>
              <w:rPr/>
              <w:t>Область применения.</w:t>
              <w:tab/>
              <w:t>1</w:t>
            </w:r>
          </w:hyperlink>
        </w:p>
        <w:p>
          <w:pPr>
            <w:pStyle w:val="TOC1"/>
            <w:numPr>
              <w:ilvl w:val="0"/>
              <w:numId w:val="2"/>
            </w:numPr>
            <w:tabs>
              <w:tab w:pos="349" w:val="left" w:leader="none"/>
              <w:tab w:pos="9507" w:val="left" w:leader="dot"/>
            </w:tabs>
            <w:spacing w:line="240" w:lineRule="auto" w:before="105" w:after="0"/>
            <w:ind w:left="348" w:right="0" w:hanging="234"/>
            <w:jc w:val="left"/>
          </w:pPr>
          <w:hyperlink w:history="true" w:anchor="_bookmark1">
            <w:r>
              <w:rPr/>
              <w:t>Нормативные</w:t>
            </w:r>
            <w:r>
              <w:rPr>
                <w:spacing w:val="-5"/>
              </w:rPr>
              <w:t> </w:t>
            </w:r>
            <w:r>
              <w:rPr/>
              <w:t>ссылки.</w:t>
              <w:tab/>
              <w:t>1</w:t>
            </w:r>
          </w:hyperlink>
        </w:p>
        <w:p>
          <w:pPr>
            <w:pStyle w:val="TOC1"/>
            <w:numPr>
              <w:ilvl w:val="0"/>
              <w:numId w:val="2"/>
            </w:numPr>
            <w:tabs>
              <w:tab w:pos="339" w:val="left" w:leader="none"/>
              <w:tab w:pos="9508" w:val="left" w:leader="dot"/>
            </w:tabs>
            <w:spacing w:line="240" w:lineRule="auto" w:before="105" w:after="0"/>
            <w:ind w:left="338" w:right="0" w:hanging="224"/>
            <w:jc w:val="left"/>
          </w:pPr>
          <w:hyperlink w:history="true" w:anchor="_bookmark2">
            <w:r>
              <w:rPr/>
              <w:t>Термины</w:t>
            </w:r>
            <w:r>
              <w:rPr>
                <w:spacing w:val="-3"/>
              </w:rPr>
              <w:t> </w:t>
            </w:r>
            <w:r>
              <w:rPr/>
              <w:t>и</w:t>
            </w:r>
            <w:r>
              <w:rPr>
                <w:spacing w:val="-3"/>
              </w:rPr>
              <w:t> </w:t>
            </w:r>
            <w:r>
              <w:rPr/>
              <w:t>определения.</w:t>
              <w:tab/>
              <w:t>1</w:t>
            </w:r>
          </w:hyperlink>
        </w:p>
        <w:p>
          <w:pPr>
            <w:pStyle w:val="TOC1"/>
            <w:numPr>
              <w:ilvl w:val="0"/>
              <w:numId w:val="2"/>
            </w:numPr>
            <w:tabs>
              <w:tab w:pos="339" w:val="left" w:leader="none"/>
              <w:tab w:pos="9508" w:val="left" w:leader="dot"/>
            </w:tabs>
            <w:spacing w:line="240" w:lineRule="auto" w:before="105" w:after="0"/>
            <w:ind w:left="338" w:right="0" w:hanging="224"/>
            <w:jc w:val="left"/>
          </w:pPr>
          <w:hyperlink w:history="true" w:anchor="_bookmark3">
            <w:r>
              <w:rPr/>
              <w:t>Общие требования.</w:t>
              <w:tab/>
              <w:t>1</w:t>
            </w:r>
          </w:hyperlink>
        </w:p>
        <w:p>
          <w:pPr>
            <w:pStyle w:val="TOC1"/>
            <w:numPr>
              <w:ilvl w:val="0"/>
              <w:numId w:val="2"/>
            </w:numPr>
            <w:tabs>
              <w:tab w:pos="339" w:val="left" w:leader="none"/>
              <w:tab w:pos="9509" w:val="left" w:leader="dot"/>
            </w:tabs>
            <w:spacing w:line="240" w:lineRule="auto" w:before="87" w:after="0"/>
            <w:ind w:left="338" w:right="0" w:hanging="224"/>
            <w:jc w:val="left"/>
          </w:pPr>
          <w:hyperlink w:history="true" w:anchor="_bookmark4">
            <w:r>
              <w:rPr/>
              <w:t>Общие условия испытаний.</w:t>
              <w:tab/>
              <w:t>1</w:t>
            </w:r>
          </w:hyperlink>
        </w:p>
        <w:p>
          <w:pPr>
            <w:pStyle w:val="TOC1"/>
            <w:numPr>
              <w:ilvl w:val="0"/>
              <w:numId w:val="2"/>
            </w:numPr>
            <w:tabs>
              <w:tab w:pos="339" w:val="left" w:leader="none"/>
              <w:tab w:pos="9526" w:val="left" w:leader="dot"/>
            </w:tabs>
            <w:spacing w:line="240" w:lineRule="auto" w:before="105" w:after="0"/>
            <w:ind w:left="338" w:right="0" w:hanging="224"/>
            <w:jc w:val="left"/>
          </w:pPr>
          <w:hyperlink w:history="true" w:anchor="_bookmark5">
            <w:r>
              <w:rPr/>
              <w:t>Опасность излучения, токсичность и</w:t>
            </w:r>
            <w:r>
              <w:rPr>
                <w:spacing w:val="-11"/>
              </w:rPr>
              <w:t> </w:t>
            </w:r>
            <w:r>
              <w:rPr/>
              <w:t>прочив</w:t>
            </w:r>
            <w:r>
              <w:rPr>
                <w:spacing w:val="-3"/>
              </w:rPr>
              <w:t> </w:t>
            </w:r>
            <w:r>
              <w:rPr/>
              <w:t>опасности</w:t>
              <w:tab/>
              <w:t>2</w:t>
            </w:r>
          </w:hyperlink>
        </w:p>
        <w:p>
          <w:pPr>
            <w:pStyle w:val="TOC1"/>
            <w:numPr>
              <w:ilvl w:val="0"/>
              <w:numId w:val="2"/>
            </w:numPr>
            <w:tabs>
              <w:tab w:pos="349" w:val="left" w:leader="none"/>
              <w:tab w:pos="9527" w:val="left" w:leader="dot"/>
            </w:tabs>
            <w:spacing w:line="240" w:lineRule="auto" w:before="105" w:after="0"/>
            <w:ind w:left="348" w:right="0" w:hanging="234"/>
            <w:jc w:val="left"/>
          </w:pPr>
          <w:hyperlink w:history="true" w:anchor="_bookmark6">
            <w:r>
              <w:rPr/>
              <w:t>Классификация.</w:t>
              <w:tab/>
              <w:t>2</w:t>
            </w:r>
          </w:hyperlink>
        </w:p>
        <w:p>
          <w:pPr>
            <w:pStyle w:val="TOC1"/>
            <w:numPr>
              <w:ilvl w:val="0"/>
              <w:numId w:val="2"/>
            </w:numPr>
            <w:tabs>
              <w:tab w:pos="349" w:val="left" w:leader="none"/>
              <w:tab w:pos="9536" w:val="left" w:leader="dot"/>
            </w:tabs>
            <w:spacing w:line="240" w:lineRule="auto" w:before="105" w:after="0"/>
            <w:ind w:left="348" w:right="0" w:hanging="234"/>
            <w:jc w:val="left"/>
          </w:pPr>
          <w:hyperlink w:history="true" w:anchor="_bookmark7">
            <w:r>
              <w:rPr/>
              <w:t>Маркировка</w:t>
            </w:r>
            <w:r>
              <w:rPr>
                <w:spacing w:val="-3"/>
              </w:rPr>
              <w:t> </w:t>
            </w:r>
            <w:r>
              <w:rPr/>
              <w:t>и</w:t>
            </w:r>
            <w:r>
              <w:rPr>
                <w:spacing w:val="-3"/>
              </w:rPr>
              <w:t> </w:t>
            </w:r>
            <w:r>
              <w:rPr/>
              <w:t>инструкция.</w:t>
              <w:tab/>
              <w:t>2</w:t>
            </w:r>
          </w:hyperlink>
        </w:p>
        <w:p>
          <w:pPr>
            <w:pStyle w:val="TOC1"/>
            <w:numPr>
              <w:ilvl w:val="0"/>
              <w:numId w:val="2"/>
            </w:numPr>
            <w:tabs>
              <w:tab w:pos="349" w:val="left" w:leader="none"/>
              <w:tab w:pos="9536" w:val="left" w:leader="dot"/>
            </w:tabs>
            <w:spacing w:line="240" w:lineRule="auto" w:before="105" w:after="0"/>
            <w:ind w:left="348" w:right="0" w:hanging="234"/>
            <w:jc w:val="left"/>
          </w:pPr>
          <w:hyperlink w:history="true" w:anchor="_bookmark8">
            <w:r>
              <w:rPr/>
              <w:t>Защита от контакта с</w:t>
            </w:r>
            <w:r>
              <w:rPr>
                <w:spacing w:val="-8"/>
              </w:rPr>
              <w:t> </w:t>
            </w:r>
            <w:r>
              <w:rPr/>
              <w:t>токоввдущими</w:t>
            </w:r>
            <w:r>
              <w:rPr>
                <w:spacing w:val="-2"/>
              </w:rPr>
              <w:t> </w:t>
            </w:r>
            <w:r>
              <w:rPr/>
              <w:t>частями.</w:t>
              <w:tab/>
              <w:t>2</w:t>
            </w:r>
          </w:hyperlink>
        </w:p>
        <w:p>
          <w:pPr>
            <w:pStyle w:val="TOC1"/>
            <w:numPr>
              <w:ilvl w:val="0"/>
              <w:numId w:val="2"/>
            </w:numPr>
            <w:tabs>
              <w:tab w:pos="456" w:val="left" w:leader="none"/>
              <w:tab w:pos="9526" w:val="left" w:leader="dot"/>
            </w:tabs>
            <w:spacing w:line="240" w:lineRule="auto" w:before="87" w:after="0"/>
            <w:ind w:left="455" w:right="0" w:hanging="323"/>
            <w:jc w:val="left"/>
          </w:pPr>
          <w:hyperlink w:history="true" w:anchor="_bookmark9">
            <w:r>
              <w:rPr/>
              <w:t>Пуск.</w:t>
              <w:tab/>
              <w:t>2</w:t>
            </w:r>
          </w:hyperlink>
        </w:p>
        <w:p>
          <w:pPr>
            <w:pStyle w:val="TOC1"/>
            <w:numPr>
              <w:ilvl w:val="0"/>
              <w:numId w:val="2"/>
            </w:numPr>
            <w:tabs>
              <w:tab w:pos="456" w:val="left" w:leader="none"/>
              <w:tab w:pos="9528" w:val="left" w:leader="dot"/>
            </w:tabs>
            <w:spacing w:line="240" w:lineRule="auto" w:before="105" w:after="0"/>
            <w:ind w:left="455" w:right="0" w:hanging="323"/>
            <w:jc w:val="left"/>
          </w:pPr>
          <w:hyperlink w:history="true" w:anchor="_bookmark10">
            <w:r>
              <w:rPr/>
              <w:t>Потребляемая мощность и ток.</w:t>
              <w:tab/>
              <w:t>2</w:t>
            </w:r>
          </w:hyperlink>
        </w:p>
        <w:p>
          <w:pPr>
            <w:pStyle w:val="TOC1"/>
            <w:numPr>
              <w:ilvl w:val="0"/>
              <w:numId w:val="2"/>
            </w:numPr>
            <w:tabs>
              <w:tab w:pos="456" w:val="left" w:leader="none"/>
              <w:tab w:pos="9526" w:val="left" w:leader="dot"/>
            </w:tabs>
            <w:spacing w:line="240" w:lineRule="auto" w:before="105" w:after="0"/>
            <w:ind w:left="455" w:right="0" w:hanging="323"/>
            <w:jc w:val="left"/>
          </w:pPr>
          <w:hyperlink w:history="true" w:anchor="_bookmark11">
            <w:r>
              <w:rPr/>
              <w:t>Нагрев.</w:t>
              <w:tab/>
              <w:t>2</w:t>
            </w:r>
          </w:hyperlink>
        </w:p>
        <w:p>
          <w:pPr>
            <w:pStyle w:val="TOC1"/>
            <w:numPr>
              <w:ilvl w:val="0"/>
              <w:numId w:val="2"/>
            </w:numPr>
            <w:tabs>
              <w:tab w:pos="448" w:val="left" w:leader="none"/>
              <w:tab w:pos="9535" w:val="left" w:leader="dot"/>
            </w:tabs>
            <w:spacing w:line="240" w:lineRule="auto" w:before="105" w:after="0"/>
            <w:ind w:left="447" w:right="0" w:hanging="315"/>
            <w:jc w:val="left"/>
          </w:pPr>
          <w:hyperlink w:history="true" w:anchor="_bookmark12">
            <w:r>
              <w:rPr/>
              <w:t>Теплостойкость</w:t>
            </w:r>
            <w:r>
              <w:rPr>
                <w:spacing w:val="-4"/>
              </w:rPr>
              <w:t> </w:t>
            </w:r>
            <w:r>
              <w:rPr/>
              <w:t>и</w:t>
            </w:r>
            <w:r>
              <w:rPr>
                <w:spacing w:val="-4"/>
              </w:rPr>
              <w:t> </w:t>
            </w:r>
            <w:r>
              <w:rPr/>
              <w:t>огнестойкость.</w:t>
              <w:tab/>
              <w:t>3</w:t>
            </w:r>
          </w:hyperlink>
        </w:p>
        <w:p>
          <w:pPr>
            <w:pStyle w:val="TOC1"/>
            <w:numPr>
              <w:ilvl w:val="0"/>
              <w:numId w:val="2"/>
            </w:numPr>
            <w:tabs>
              <w:tab w:pos="456" w:val="left" w:leader="none"/>
              <w:tab w:pos="9534" w:val="left" w:leader="dot"/>
            </w:tabs>
            <w:spacing w:line="240" w:lineRule="auto" w:before="87" w:after="0"/>
            <w:ind w:left="455" w:right="0" w:hanging="323"/>
            <w:jc w:val="left"/>
          </w:pPr>
          <w:hyperlink w:history="true" w:anchor="_bookmark13">
            <w:r>
              <w:rPr/>
              <w:t>Влагостойкость.</w:t>
              <w:tab/>
              <w:t>3</w:t>
            </w:r>
          </w:hyperlink>
        </w:p>
        <w:p>
          <w:pPr>
            <w:pStyle w:val="TOC1"/>
            <w:numPr>
              <w:ilvl w:val="0"/>
              <w:numId w:val="2"/>
            </w:numPr>
            <w:tabs>
              <w:tab w:pos="456" w:val="left" w:leader="none"/>
              <w:tab w:pos="9537" w:val="left" w:leader="dot"/>
            </w:tabs>
            <w:spacing w:line="240" w:lineRule="auto" w:before="105" w:after="0"/>
            <w:ind w:left="455" w:right="0" w:hanging="323"/>
            <w:jc w:val="left"/>
          </w:pPr>
          <w:hyperlink w:history="true" w:anchor="_bookmark14">
            <w:r>
              <w:rPr/>
              <w:t>Коррозионностойкость.</w:t>
              <w:tab/>
              <w:t>3</w:t>
            </w:r>
          </w:hyperlink>
        </w:p>
        <w:p>
          <w:pPr>
            <w:pStyle w:val="TOC1"/>
            <w:numPr>
              <w:ilvl w:val="0"/>
              <w:numId w:val="2"/>
            </w:numPr>
            <w:tabs>
              <w:tab w:pos="456" w:val="left" w:leader="none"/>
              <w:tab w:pos="9535" w:val="left" w:leader="dot"/>
            </w:tabs>
            <w:spacing w:line="240" w:lineRule="auto" w:before="105" w:after="0"/>
            <w:ind w:left="455" w:right="0" w:hanging="323"/>
            <w:jc w:val="left"/>
          </w:pPr>
          <w:hyperlink w:history="true" w:anchor="_bookmark15">
            <w:r>
              <w:rPr/>
              <w:t>Защита от перегрузки трансформаторов и соединенных с</w:t>
            </w:r>
            <w:r>
              <w:rPr>
                <w:spacing w:val="-14"/>
              </w:rPr>
              <w:t> </w:t>
            </w:r>
            <w:r>
              <w:rPr/>
              <w:t>ними</w:t>
            </w:r>
            <w:r>
              <w:rPr>
                <w:spacing w:val="-3"/>
              </w:rPr>
              <w:t> </w:t>
            </w:r>
            <w:r>
              <w:rPr/>
              <w:t>частей</w:t>
              <w:tab/>
              <w:t>3</w:t>
            </w:r>
          </w:hyperlink>
        </w:p>
        <w:p>
          <w:pPr>
            <w:pStyle w:val="TOC1"/>
            <w:numPr>
              <w:ilvl w:val="0"/>
              <w:numId w:val="2"/>
            </w:numPr>
            <w:tabs>
              <w:tab w:pos="456" w:val="left" w:leader="none"/>
              <w:tab w:pos="9535" w:val="left" w:leader="dot"/>
            </w:tabs>
            <w:spacing w:line="240" w:lineRule="auto" w:before="105" w:after="0"/>
            <w:ind w:left="455" w:right="0" w:hanging="323"/>
            <w:jc w:val="left"/>
          </w:pPr>
          <w:hyperlink w:history="true" w:anchor="_bookmark16">
            <w:r>
              <w:rPr/>
              <w:t>Надежность.</w:t>
              <w:tab/>
              <w:t>3</w:t>
            </w:r>
          </w:hyperlink>
        </w:p>
        <w:p>
          <w:pPr>
            <w:pStyle w:val="TOC1"/>
            <w:numPr>
              <w:ilvl w:val="0"/>
              <w:numId w:val="2"/>
            </w:numPr>
            <w:tabs>
              <w:tab w:pos="456" w:val="left" w:leader="none"/>
              <w:tab w:pos="9535" w:val="left" w:leader="dot"/>
            </w:tabs>
            <w:spacing w:line="240" w:lineRule="auto" w:before="105" w:after="0"/>
            <w:ind w:left="455" w:right="0" w:hanging="323"/>
            <w:jc w:val="left"/>
          </w:pPr>
          <w:hyperlink w:history="true" w:anchor="_bookmark17">
            <w:r>
              <w:rPr/>
              <w:t>Ненормальный</w:t>
            </w:r>
            <w:r>
              <w:rPr>
                <w:spacing w:val="-7"/>
              </w:rPr>
              <w:t> </w:t>
            </w:r>
            <w:r>
              <w:rPr/>
              <w:t>режим</w:t>
            </w:r>
            <w:r>
              <w:rPr>
                <w:spacing w:val="-7"/>
              </w:rPr>
              <w:t> </w:t>
            </w:r>
            <w:r>
              <w:rPr/>
              <w:t>работы.</w:t>
              <w:tab/>
              <w:t>3</w:t>
            </w:r>
          </w:hyperlink>
        </w:p>
        <w:p>
          <w:pPr>
            <w:pStyle w:val="TOC1"/>
            <w:numPr>
              <w:ilvl w:val="0"/>
              <w:numId w:val="2"/>
            </w:numPr>
            <w:tabs>
              <w:tab w:pos="456" w:val="left" w:leader="none"/>
              <w:tab w:pos="9527" w:val="left" w:leader="dot"/>
            </w:tabs>
            <w:spacing w:line="240" w:lineRule="auto" w:before="87" w:after="0"/>
            <w:ind w:left="455" w:right="0" w:hanging="323"/>
            <w:jc w:val="left"/>
          </w:pPr>
          <w:hyperlink w:history="true" w:anchor="_bookmark18">
            <w:r>
              <w:rPr/>
              <w:t>Механическая</w:t>
            </w:r>
            <w:r>
              <w:rPr>
                <w:spacing w:val="-4"/>
              </w:rPr>
              <w:t> </w:t>
            </w:r>
            <w:r>
              <w:rPr/>
              <w:t>безопасность.</w:t>
              <w:tab/>
              <w:t>4</w:t>
            </w:r>
          </w:hyperlink>
        </w:p>
        <w:p>
          <w:pPr>
            <w:pStyle w:val="TOC1"/>
            <w:numPr>
              <w:ilvl w:val="0"/>
              <w:numId w:val="2"/>
            </w:numPr>
            <w:tabs>
              <w:tab w:pos="456" w:val="left" w:leader="none"/>
              <w:tab w:pos="9536" w:val="left" w:leader="dot"/>
            </w:tabs>
            <w:spacing w:line="240" w:lineRule="auto" w:before="105" w:after="0"/>
            <w:ind w:left="456" w:right="0" w:hanging="342"/>
            <w:jc w:val="left"/>
          </w:pPr>
          <w:hyperlink w:history="true" w:anchor="_bookmark19">
            <w:r>
              <w:rPr/>
              <w:t>Механическая</w:t>
            </w:r>
            <w:r>
              <w:rPr>
                <w:spacing w:val="-4"/>
              </w:rPr>
              <w:t> </w:t>
            </w:r>
            <w:r>
              <w:rPr/>
              <w:t>прочность.</w:t>
              <w:tab/>
              <w:t>5</w:t>
            </w:r>
          </w:hyperlink>
        </w:p>
        <w:p>
          <w:pPr>
            <w:pStyle w:val="TOC1"/>
            <w:numPr>
              <w:ilvl w:val="0"/>
              <w:numId w:val="2"/>
            </w:numPr>
            <w:tabs>
              <w:tab w:pos="456" w:val="left" w:leader="none"/>
              <w:tab w:pos="9536" w:val="left" w:leader="dot"/>
            </w:tabs>
            <w:spacing w:line="240" w:lineRule="auto" w:before="105" w:after="0"/>
            <w:ind w:left="456" w:right="0" w:hanging="342"/>
            <w:jc w:val="left"/>
          </w:pPr>
          <w:hyperlink w:history="true" w:anchor="_bookmark20">
            <w:r>
              <w:rPr/>
              <w:t>Конструкция.</w:t>
              <w:tab/>
              <w:t>5</w:t>
            </w:r>
          </w:hyperlink>
        </w:p>
        <w:p>
          <w:pPr>
            <w:pStyle w:val="TOC1"/>
            <w:numPr>
              <w:ilvl w:val="0"/>
              <w:numId w:val="2"/>
            </w:numPr>
            <w:tabs>
              <w:tab w:pos="456" w:val="left" w:leader="none"/>
              <w:tab w:pos="9536" w:val="left" w:leader="dot"/>
            </w:tabs>
            <w:spacing w:line="240" w:lineRule="auto" w:before="105" w:after="0"/>
            <w:ind w:left="456" w:right="0" w:hanging="342"/>
            <w:jc w:val="left"/>
          </w:pPr>
          <w:hyperlink w:history="true" w:anchor="_bookmark21">
            <w:r>
              <w:rPr/>
              <w:t>Внутренняя проводка.</w:t>
              <w:tab/>
              <w:t>5</w:t>
            </w:r>
          </w:hyperlink>
        </w:p>
        <w:p>
          <w:pPr>
            <w:pStyle w:val="TOC1"/>
            <w:numPr>
              <w:ilvl w:val="0"/>
              <w:numId w:val="2"/>
            </w:numPr>
            <w:tabs>
              <w:tab w:pos="456" w:val="left" w:leader="none"/>
              <w:tab w:pos="9538" w:val="left" w:leader="dot"/>
            </w:tabs>
            <w:spacing w:line="240" w:lineRule="auto" w:before="87" w:after="0"/>
            <w:ind w:left="456" w:right="0" w:hanging="342"/>
            <w:jc w:val="left"/>
          </w:pPr>
          <w:hyperlink w:history="true" w:anchor="_bookmark22">
            <w:r>
              <w:rPr/>
              <w:t>Комплектующие изделия.</w:t>
              <w:tab/>
              <w:t>6</w:t>
            </w:r>
          </w:hyperlink>
        </w:p>
        <w:p>
          <w:pPr>
            <w:pStyle w:val="TOC1"/>
            <w:numPr>
              <w:ilvl w:val="0"/>
              <w:numId w:val="2"/>
            </w:numPr>
            <w:tabs>
              <w:tab w:pos="456" w:val="left" w:leader="none"/>
              <w:tab w:pos="9538" w:val="left" w:leader="dot"/>
            </w:tabs>
            <w:spacing w:line="240" w:lineRule="auto" w:before="105" w:after="0"/>
            <w:ind w:left="456" w:right="0" w:hanging="342"/>
            <w:jc w:val="left"/>
          </w:pPr>
          <w:hyperlink w:history="true" w:anchor="_bookmark23">
            <w:r>
              <w:rPr/>
              <w:t>Присоединение к источнику питания и внешние</w:t>
            </w:r>
            <w:r>
              <w:rPr>
                <w:spacing w:val="-9"/>
              </w:rPr>
              <w:t> </w:t>
            </w:r>
            <w:r>
              <w:rPr/>
              <w:t>гибкие</w:t>
            </w:r>
            <w:r>
              <w:rPr>
                <w:spacing w:val="-2"/>
              </w:rPr>
              <w:t> </w:t>
            </w:r>
            <w:r>
              <w:rPr/>
              <w:t>шнуры.</w:t>
              <w:tab/>
              <w:t>6</w:t>
            </w:r>
          </w:hyperlink>
        </w:p>
        <w:p>
          <w:pPr>
            <w:pStyle w:val="TOC1"/>
            <w:numPr>
              <w:ilvl w:val="0"/>
              <w:numId w:val="2"/>
            </w:numPr>
            <w:tabs>
              <w:tab w:pos="456" w:val="left" w:leader="none"/>
              <w:tab w:pos="9535" w:val="left" w:leader="dot"/>
            </w:tabs>
            <w:spacing w:line="240" w:lineRule="auto" w:before="105" w:after="0"/>
            <w:ind w:left="456" w:right="0" w:hanging="342"/>
            <w:jc w:val="left"/>
          </w:pPr>
          <w:hyperlink w:history="true" w:anchor="_bookmark24">
            <w:r>
              <w:rPr/>
              <w:t>Зажимы для</w:t>
            </w:r>
            <w:r>
              <w:rPr>
                <w:spacing w:val="-5"/>
              </w:rPr>
              <w:t> </w:t>
            </w:r>
            <w:r>
              <w:rPr/>
              <w:t>внешних</w:t>
            </w:r>
            <w:r>
              <w:rPr>
                <w:spacing w:val="-3"/>
              </w:rPr>
              <w:t> </w:t>
            </w:r>
            <w:r>
              <w:rPr/>
              <w:t>проводов.</w:t>
              <w:tab/>
              <w:t>6</w:t>
            </w:r>
          </w:hyperlink>
        </w:p>
        <w:p>
          <w:pPr>
            <w:pStyle w:val="TOC1"/>
            <w:numPr>
              <w:ilvl w:val="0"/>
              <w:numId w:val="2"/>
            </w:numPr>
            <w:tabs>
              <w:tab w:pos="456" w:val="left" w:leader="none"/>
              <w:tab w:pos="9526" w:val="left" w:leader="dot"/>
            </w:tabs>
            <w:spacing w:line="240" w:lineRule="auto" w:before="105" w:after="0"/>
            <w:ind w:left="456" w:right="0" w:hanging="342"/>
            <w:jc w:val="left"/>
          </w:pPr>
          <w:hyperlink w:history="true" w:anchor="_bookmark25">
            <w:r>
              <w:rPr/>
              <w:t>Заземление.</w:t>
              <w:tab/>
              <w:t>6</w:t>
            </w:r>
          </w:hyperlink>
        </w:p>
        <w:p>
          <w:pPr>
            <w:pStyle w:val="TOC1"/>
            <w:numPr>
              <w:ilvl w:val="0"/>
              <w:numId w:val="2"/>
            </w:numPr>
            <w:tabs>
              <w:tab w:pos="456" w:val="left" w:leader="none"/>
              <w:tab w:pos="9535" w:val="left" w:leader="dot"/>
            </w:tabs>
            <w:spacing w:line="240" w:lineRule="auto" w:before="105" w:after="0"/>
            <w:ind w:left="456" w:right="0" w:hanging="342"/>
            <w:jc w:val="left"/>
          </w:pPr>
          <w:hyperlink w:history="true" w:anchor="_bookmark26">
            <w:r>
              <w:rPr/>
              <w:t>Винты и соединения.</w:t>
              <w:tab/>
              <w:t>6</w:t>
            </w:r>
          </w:hyperlink>
        </w:p>
        <w:p>
          <w:pPr>
            <w:pStyle w:val="TOC1"/>
            <w:numPr>
              <w:ilvl w:val="0"/>
              <w:numId w:val="2"/>
            </w:numPr>
            <w:tabs>
              <w:tab w:pos="456" w:val="left" w:leader="none"/>
              <w:tab w:pos="9526" w:val="left" w:leader="dot"/>
            </w:tabs>
            <w:spacing w:line="240" w:lineRule="auto" w:before="87" w:after="0"/>
            <w:ind w:left="456" w:right="0" w:hanging="342"/>
            <w:jc w:val="left"/>
          </w:pPr>
          <w:hyperlink w:history="true" w:anchor="_bookmark27">
            <w:r>
              <w:rPr/>
              <w:t>Пути утечки тока, воздушные зазоры и расстояние</w:t>
            </w:r>
            <w:r>
              <w:rPr>
                <w:spacing w:val="-21"/>
              </w:rPr>
              <w:t> </w:t>
            </w:r>
            <w:r>
              <w:rPr/>
              <w:t>по</w:t>
            </w:r>
            <w:r>
              <w:rPr>
                <w:spacing w:val="-3"/>
              </w:rPr>
              <w:t> </w:t>
            </w:r>
            <w:r>
              <w:rPr/>
              <w:t>изоляции</w:t>
              <w:tab/>
              <w:t>6</w:t>
            </w:r>
          </w:hyperlink>
        </w:p>
        <w:p>
          <w:pPr>
            <w:pStyle w:val="TOC1"/>
            <w:tabs>
              <w:tab w:pos="9537" w:val="left" w:leader="dot"/>
            </w:tabs>
            <w:ind w:left="114" w:firstLine="0"/>
          </w:pPr>
          <w:r>
            <w:rPr/>
            <w:t>Приложение! (справочное) Измерение шума</w:t>
          </w:r>
          <w:r>
            <w:rPr>
              <w:spacing w:val="-8"/>
            </w:rPr>
            <w:t> </w:t>
          </w:r>
          <w:r>
            <w:rPr/>
            <w:t>и</w:t>
          </w:r>
          <w:r>
            <w:rPr>
              <w:spacing w:val="-2"/>
            </w:rPr>
            <w:t> </w:t>
          </w:r>
          <w:r>
            <w:rPr/>
            <w:t>вибрации.</w:t>
            <w:tab/>
            <w:t>8</w:t>
          </w:r>
        </w:p>
        <w:p>
          <w:pPr>
            <w:pStyle w:val="TOC1"/>
            <w:tabs>
              <w:tab w:pos="9430" w:val="left" w:leader="dot"/>
            </w:tabs>
            <w:ind w:left="114" w:firstLine="0"/>
          </w:pPr>
          <w:r>
            <w:rPr/>
            <w:t>Приложение К (обязательное) Аккумуляторные машины и</w:t>
          </w:r>
          <w:r>
            <w:rPr>
              <w:spacing w:val="-9"/>
            </w:rPr>
            <w:t> </w:t>
          </w:r>
          <w:r>
            <w:rPr/>
            <w:t>аккумуляторные</w:t>
          </w:r>
          <w:r>
            <w:rPr>
              <w:spacing w:val="-3"/>
            </w:rPr>
            <w:t> </w:t>
          </w:r>
          <w:r>
            <w:rPr/>
            <w:t>батареи.</w:t>
            <w:tab/>
            <w:t>12</w:t>
          </w:r>
        </w:p>
        <w:p>
          <w:pPr>
            <w:pStyle w:val="TOC1"/>
            <w:ind w:left="114" w:firstLine="0"/>
          </w:pPr>
          <w:r>
            <w:rPr/>
            <w:t>Приложение 1_{обязательнов)Аккумуляторныв машины и аккумуляторные батареи, имеющие</w:t>
          </w:r>
        </w:p>
        <w:p>
          <w:pPr>
            <w:pStyle w:val="TOC2"/>
            <w:tabs>
              <w:tab w:pos="9431" w:val="left" w:leader="dot"/>
            </w:tabs>
          </w:pPr>
          <w:r>
            <w:rPr/>
            <w:t>соединение с сетью или неизолированными</w:t>
          </w:r>
          <w:r>
            <w:rPr>
              <w:spacing w:val="-11"/>
            </w:rPr>
            <w:t> </w:t>
          </w:r>
          <w:r>
            <w:rPr/>
            <w:t>источниками</w:t>
          </w:r>
          <w:r>
            <w:rPr>
              <w:spacing w:val="-2"/>
            </w:rPr>
            <w:t> </w:t>
          </w:r>
          <w:r>
            <w:rPr/>
            <w:t>питания.</w:t>
            <w:tab/>
            <w:t>12</w:t>
          </w:r>
        </w:p>
        <w:p>
          <w:pPr>
            <w:pStyle w:val="TOC1"/>
            <w:tabs>
              <w:tab w:pos="9433" w:val="left" w:leader="dot"/>
            </w:tabs>
            <w:spacing w:line="316" w:lineRule="auto"/>
            <w:ind w:left="1679" w:right="113" w:hanging="1566"/>
          </w:pPr>
          <w:r>
            <w:rPr/>
            <w:t>Приложение ДА (справочное) Сведения о соответствии ссылочных международных стандартов межгосударственным стандартам.</w:t>
            <w:tab/>
            <w:t>13</w:t>
          </w:r>
        </w:p>
        <w:p>
          <w:pPr>
            <w:pStyle w:val="TOC1"/>
            <w:tabs>
              <w:tab w:pos="9427" w:val="left" w:leader="dot"/>
            </w:tabs>
            <w:spacing w:before="19"/>
            <w:ind w:left="114" w:firstLine="0"/>
          </w:pPr>
          <w:r>
            <w:rPr/>
            <w:t>Библиография.</w:t>
            <w:tab/>
            <w:t>13</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114" w:right="0" w:firstLine="0"/>
        <w:jc w:val="left"/>
        <w:rPr>
          <w:b/>
          <w:sz w:val="16"/>
        </w:rPr>
      </w:pPr>
      <w:r>
        <w:rPr>
          <w:b/>
          <w:sz w:val="16"/>
        </w:rPr>
        <w:t>IV</w:t>
      </w:r>
    </w:p>
    <w:p>
      <w:pPr>
        <w:spacing w:after="0"/>
        <w:jc w:val="left"/>
        <w:rPr>
          <w:sz w:val="16"/>
        </w:rPr>
        <w:sectPr>
          <w:pgSz w:w="11900" w:h="16840"/>
          <w:pgMar w:header="520" w:footer="515" w:top="720" w:bottom="720" w:left="1300" w:right="840"/>
        </w:sectPr>
      </w:pPr>
    </w:p>
    <w:p>
      <w:pPr>
        <w:pStyle w:val="BodyText"/>
        <w:rPr>
          <w:b/>
          <w:sz w:val="20"/>
        </w:rPr>
      </w:pPr>
    </w:p>
    <w:p>
      <w:pPr>
        <w:pStyle w:val="BodyText"/>
        <w:spacing w:before="5"/>
        <w:rPr>
          <w:b/>
          <w:sz w:val="20"/>
        </w:rPr>
      </w:pPr>
    </w:p>
    <w:p>
      <w:pPr>
        <w:pStyle w:val="BodyText"/>
        <w:ind w:right="204"/>
        <w:jc w:val="right"/>
      </w:pPr>
      <w:r>
        <w:rPr/>
        <w:t>ГОСТ 1ЕС 62941.2-14—2016</w:t>
      </w:r>
    </w:p>
    <w:p>
      <w:pPr>
        <w:pStyle w:val="BodyText"/>
        <w:spacing w:before="9"/>
        <w:rPr>
          <w:sz w:val="15"/>
        </w:rPr>
      </w:pPr>
    </w:p>
    <w:p>
      <w:pPr>
        <w:pStyle w:val="Heading1"/>
        <w:spacing w:before="92"/>
        <w:ind w:left="4326" w:right="4323" w:firstLine="0"/>
        <w:jc w:val="center"/>
      </w:pPr>
      <w:r>
        <w:rPr/>
        <w:t>Введение</w:t>
      </w:r>
    </w:p>
    <w:p>
      <w:pPr>
        <w:pStyle w:val="BodyText"/>
        <w:spacing w:before="8"/>
        <w:rPr>
          <w:b/>
          <w:sz w:val="20"/>
        </w:rPr>
      </w:pPr>
    </w:p>
    <w:p>
      <w:pPr>
        <w:pStyle w:val="BodyText"/>
        <w:spacing w:line="256" w:lineRule="auto"/>
        <w:ind w:left="136" w:right="120" w:firstLine="504"/>
        <w:jc w:val="both"/>
      </w:pPr>
      <w:r>
        <w:rPr/>
        <w:t>Настоящий стандарт  входит  в  комплекс  стандартов,  устанавливающих  требования  безопасности и методы испытаний ручных, переносных и садовоюгородных электрических машин.</w:t>
      </w:r>
    </w:p>
    <w:p>
      <w:pPr>
        <w:pStyle w:val="BodyText"/>
        <w:spacing w:line="252" w:lineRule="auto"/>
        <w:ind w:left="118" w:right="119" w:firstLine="522"/>
        <w:jc w:val="both"/>
      </w:pPr>
      <w:r>
        <w:rPr/>
        <w:t>Настоящий стандарт применяют совместное ГОСТ IEC62841-1 —2014 «Машины ручные, перенос­ ные и садово-огородные электрические. Безопасность и методы испытаний. Часть 1. Общие требова­ ния».идентичным международному стандарту IEC 62841-1:2014 «Electric motor-operated hand-held tools, transportable tools and lawn and garden machinery — Safety — Part 1: General requirements» (Электро­ инструменты ручные с приводом от двигателя, передвижные инструменты и садово-огородное обору­ дование. Безопасность. Часть 1. Общие требования).</w:t>
      </w:r>
    </w:p>
    <w:p>
      <w:pPr>
        <w:pStyle w:val="BodyText"/>
        <w:spacing w:line="249" w:lineRule="auto" w:before="4"/>
        <w:ind w:left="127" w:right="120" w:firstLine="513"/>
        <w:jc w:val="both"/>
      </w:pPr>
      <w:r>
        <w:rPr/>
        <w:t>Настоящий стандарт устанавливает частные требования безопасности и  методы  испытаний руч­  ных рубанков, которые дополняют, изменяют или заменяют соответствующие разделы, подразделы, пункты, таблицы и рисунки IEC 62841-1:2014. Пункты, дополняющие IEC 62841-1:2014. имеют нумера­  цию. начиная со</w:t>
      </w:r>
      <w:r>
        <w:rPr>
          <w:spacing w:val="-8"/>
        </w:rPr>
        <w:t> </w:t>
      </w:r>
      <w:r>
        <w:rPr/>
        <w:t>101.</w:t>
      </w:r>
    </w:p>
    <w:p>
      <w:pPr>
        <w:pStyle w:val="BodyText"/>
        <w:spacing w:line="237" w:lineRule="auto" w:before="8"/>
        <w:ind w:left="136" w:right="119" w:firstLine="504"/>
        <w:jc w:val="both"/>
      </w:pPr>
      <w:r>
        <w:rPr/>
        <w:t>Номера разделов, пунктов,  таблиц  и  рисунков настоящего  стандарта соответствуют приведенным в IEC</w:t>
      </w:r>
      <w:r>
        <w:rPr>
          <w:spacing w:val="-2"/>
        </w:rPr>
        <w:t> </w:t>
      </w:r>
      <w:r>
        <w:rPr/>
        <w:t>62841-2-14.</w:t>
      </w:r>
    </w:p>
    <w:p>
      <w:pPr>
        <w:pStyle w:val="BodyText"/>
        <w:spacing w:before="15"/>
        <w:ind w:left="640"/>
      </w:pPr>
      <w:r>
        <w:rPr/>
        <w:t>В настоящем стандарте методы испытаний ручных рубанков выделены курсивом.</w:t>
      </w:r>
    </w:p>
    <w:p>
      <w:pPr>
        <w:spacing w:line="264" w:lineRule="auto" w:before="124"/>
        <w:ind w:left="118" w:right="113" w:firstLine="521"/>
        <w:jc w:val="both"/>
        <w:rPr>
          <w:sz w:val="17"/>
        </w:rPr>
      </w:pPr>
      <w:r>
        <w:rPr>
          <w:sz w:val="17"/>
        </w:rPr>
        <w:t>П р и м е ч а н и е — По рекомендации МЭК внимание национальных комитетов обращается на тот факт, что производителям машин и испытательным лабораториям потребуется переходный период поспе принятия данного межгосударственного стандарте, для изготовления продукции в соответствии с новыми требованиями и переосна­ щения оборудованием (приборами) для проведения новых или пересмотренных испытаний, по атому настоящий стандарт рекомендуется ввести в действие в качестве национального стандарте  не ранее,  чем через 36 месяца с  даты</w:t>
      </w:r>
      <w:r>
        <w:rPr>
          <w:spacing w:val="-5"/>
          <w:sz w:val="17"/>
        </w:rPr>
        <w:t> </w:t>
      </w:r>
      <w:r>
        <w:rPr>
          <w:sz w:val="17"/>
        </w:rPr>
        <w:t>его</w:t>
      </w:r>
      <w:r>
        <w:rPr>
          <w:spacing w:val="-5"/>
          <w:sz w:val="17"/>
        </w:rPr>
        <w:t> </w:t>
      </w:r>
      <w:r>
        <w:rPr>
          <w:sz w:val="17"/>
        </w:rPr>
        <w:t>принятия</w:t>
      </w:r>
      <w:r>
        <w:rPr>
          <w:spacing w:val="-4"/>
          <w:sz w:val="17"/>
        </w:rPr>
        <w:t> </w:t>
      </w:r>
      <w:r>
        <w:rPr>
          <w:sz w:val="17"/>
        </w:rPr>
        <w:t>на</w:t>
      </w:r>
      <w:r>
        <w:rPr>
          <w:spacing w:val="-5"/>
          <w:sz w:val="17"/>
        </w:rPr>
        <w:t> </w:t>
      </w:r>
      <w:r>
        <w:rPr>
          <w:sz w:val="17"/>
        </w:rPr>
        <w:t>заседании</w:t>
      </w:r>
      <w:r>
        <w:rPr>
          <w:spacing w:val="-5"/>
          <w:sz w:val="17"/>
        </w:rPr>
        <w:t> </w:t>
      </w:r>
      <w:r>
        <w:rPr>
          <w:sz w:val="17"/>
        </w:rPr>
        <w:t>МГС.</w:t>
      </w:r>
      <w:r>
        <w:rPr>
          <w:spacing w:val="-4"/>
          <w:sz w:val="17"/>
        </w:rPr>
        <w:t> </w:t>
      </w:r>
      <w:r>
        <w:rPr>
          <w:sz w:val="17"/>
        </w:rPr>
        <w:t>с</w:t>
      </w:r>
      <w:r>
        <w:rPr>
          <w:spacing w:val="-4"/>
          <w:sz w:val="17"/>
        </w:rPr>
        <w:t> </w:t>
      </w:r>
      <w:r>
        <w:rPr>
          <w:sz w:val="17"/>
        </w:rPr>
        <w:t>соответствующей</w:t>
      </w:r>
      <w:r>
        <w:rPr>
          <w:spacing w:val="-4"/>
          <w:sz w:val="17"/>
        </w:rPr>
        <w:t> </w:t>
      </w:r>
      <w:r>
        <w:rPr>
          <w:sz w:val="17"/>
        </w:rPr>
        <w:t>отменой</w:t>
      </w:r>
      <w:r>
        <w:rPr>
          <w:spacing w:val="-5"/>
          <w:sz w:val="17"/>
        </w:rPr>
        <w:t> </w:t>
      </w:r>
      <w:r>
        <w:rPr>
          <w:sz w:val="17"/>
        </w:rPr>
        <w:t>заменяемого</w:t>
      </w:r>
      <w:r>
        <w:rPr>
          <w:spacing w:val="-5"/>
          <w:sz w:val="17"/>
        </w:rPr>
        <w:t> </w:t>
      </w:r>
      <w:r>
        <w:rPr>
          <w:sz w:val="17"/>
        </w:rPr>
        <w:t>стандарта.</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14"/>
        </w:rPr>
      </w:pPr>
    </w:p>
    <w:p>
      <w:pPr>
        <w:spacing w:before="0"/>
        <w:ind w:left="0" w:right="131" w:firstLine="0"/>
        <w:jc w:val="right"/>
        <w:rPr>
          <w:b/>
          <w:sz w:val="16"/>
        </w:rPr>
      </w:pPr>
      <w:r>
        <w:rPr>
          <w:b/>
          <w:sz w:val="16"/>
        </w:rPr>
        <w:t>V</w:t>
      </w:r>
    </w:p>
    <w:p>
      <w:pPr>
        <w:spacing w:after="0"/>
        <w:jc w:val="right"/>
        <w:rPr>
          <w:sz w:val="16"/>
        </w:rPr>
        <w:sectPr>
          <w:pgSz w:w="11900" w:h="16840"/>
          <w:pgMar w:header="520" w:footer="515" w:top="720" w:bottom="720" w:left="720" w:right="1300"/>
        </w:sectPr>
      </w:pPr>
    </w:p>
    <w:p>
      <w:pPr>
        <w:pStyle w:val="BodyText"/>
        <w:rPr>
          <w:b/>
          <w:sz w:val="24"/>
        </w:rPr>
      </w:pPr>
    </w:p>
    <w:p>
      <w:pPr>
        <w:spacing w:before="93"/>
        <w:ind w:left="274" w:right="0" w:firstLine="6349"/>
        <w:jc w:val="left"/>
        <w:rPr>
          <w:b/>
          <w:sz w:val="22"/>
        </w:rPr>
      </w:pPr>
      <w:r>
        <w:rPr>
          <w:b/>
          <w:sz w:val="22"/>
        </w:rPr>
        <w:t>ГОСТ IEC 62841-2-14—2016</w:t>
      </w:r>
    </w:p>
    <w:p>
      <w:pPr>
        <w:pStyle w:val="BodyText"/>
        <w:rPr>
          <w:b/>
          <w:sz w:val="24"/>
        </w:rPr>
      </w:pPr>
    </w:p>
    <w:p>
      <w:pPr>
        <w:pStyle w:val="BodyText"/>
        <w:spacing w:before="8"/>
        <w:rPr>
          <w:b/>
          <w:sz w:val="23"/>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85"/>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0"/>
        </w:rPr>
      </w:pPr>
    </w:p>
    <w:p>
      <w:pPr>
        <w:pStyle w:val="BodyText"/>
        <w:spacing w:line="532" w:lineRule="auto" w:before="131"/>
        <w:ind w:left="2009" w:right="2015"/>
        <w:jc w:val="center"/>
      </w:pPr>
      <w:r>
        <w:rPr/>
        <w:t>Машины ручные, переносные и садово-огородные электрические БЕЗОПАСНОСТЬ И МЕТОДЫ ИСПЫТАНИЙ</w:t>
      </w:r>
    </w:p>
    <w:p>
      <w:pPr>
        <w:pStyle w:val="BodyText"/>
        <w:spacing w:before="8"/>
        <w:ind w:right="14"/>
        <w:jc w:val="center"/>
      </w:pPr>
      <w:r>
        <w:rPr/>
        <w:t>Ч а с т ь 2-14</w:t>
      </w:r>
    </w:p>
    <w:p>
      <w:pPr>
        <w:pStyle w:val="BodyText"/>
        <w:spacing w:before="9"/>
        <w:rPr>
          <w:sz w:val="24"/>
        </w:rPr>
      </w:pPr>
    </w:p>
    <w:p>
      <w:pPr>
        <w:pStyle w:val="BodyText"/>
        <w:ind w:right="4"/>
        <w:jc w:val="center"/>
      </w:pPr>
      <w:r>
        <w:rPr/>
        <w:t>Частные требования к ручным рубанкам</w:t>
      </w:r>
    </w:p>
    <w:p>
      <w:pPr>
        <w:pStyle w:val="BodyText"/>
        <w:spacing w:before="3"/>
        <w:rPr>
          <w:sz w:val="23"/>
        </w:rPr>
      </w:pPr>
    </w:p>
    <w:p>
      <w:pPr>
        <w:spacing w:before="0"/>
        <w:ind w:left="0" w:right="23" w:firstLine="0"/>
        <w:jc w:val="center"/>
        <w:rPr>
          <w:sz w:val="17"/>
        </w:rPr>
      </w:pPr>
      <w:r>
        <w:rPr>
          <w:sz w:val="17"/>
        </w:rPr>
        <w:t>Electric motor-operated hand-held tools, transportable tools and lawn and garden machinery.</w:t>
      </w:r>
    </w:p>
    <w:p>
      <w:pPr>
        <w:spacing w:before="20"/>
        <w:ind w:left="0" w:right="13" w:firstLine="0"/>
        <w:jc w:val="center"/>
        <w:rPr>
          <w:sz w:val="17"/>
        </w:rPr>
      </w:pPr>
      <w:r>
        <w:rPr>
          <w:sz w:val="17"/>
        </w:rPr>
        <w:t>Safety and test methods. Part 2-14. Particular requirements for hand-held planers</w:t>
      </w:r>
    </w:p>
    <w:p>
      <w:pPr>
        <w:pStyle w:val="BodyText"/>
        <w:rPr>
          <w:sz w:val="18"/>
        </w:rPr>
      </w:pPr>
    </w:p>
    <w:p>
      <w:pPr>
        <w:pStyle w:val="BodyText"/>
        <w:rPr>
          <w:sz w:val="18"/>
        </w:rPr>
      </w:pPr>
    </w:p>
    <w:p>
      <w:pPr>
        <w:spacing w:before="128"/>
        <w:ind w:left="0" w:right="133" w:firstLine="0"/>
        <w:jc w:val="right"/>
        <w:rPr>
          <w:sz w:val="17"/>
        </w:rPr>
      </w:pPr>
      <w:r>
        <w:rPr>
          <w:sz w:val="17"/>
        </w:rPr>
        <w:t>Дата введения — 2018—01—01</w:t>
      </w:r>
    </w:p>
    <w:p>
      <w:pPr>
        <w:pStyle w:val="BodyText"/>
        <w:rPr>
          <w:sz w:val="18"/>
        </w:rPr>
      </w:pPr>
    </w:p>
    <w:p>
      <w:pPr>
        <w:pStyle w:val="BodyText"/>
        <w:spacing w:before="9"/>
        <w:rPr>
          <w:sz w:val="21"/>
        </w:rPr>
      </w:pPr>
    </w:p>
    <w:p>
      <w:pPr>
        <w:pStyle w:val="Heading1"/>
        <w:numPr>
          <w:ilvl w:val="1"/>
          <w:numId w:val="2"/>
        </w:numPr>
        <w:tabs>
          <w:tab w:pos="891" w:val="left" w:leader="none"/>
        </w:tabs>
        <w:spacing w:line="240" w:lineRule="auto" w:before="1" w:after="0"/>
        <w:ind w:left="890" w:right="0" w:hanging="261"/>
        <w:jc w:val="left"/>
      </w:pPr>
      <w:bookmarkStart w:name="_bookmark0" w:id="1"/>
      <w:bookmarkEnd w:id="1"/>
      <w:r>
        <w:rPr>
          <w:b w:val="0"/>
        </w:rPr>
      </w:r>
      <w:bookmarkStart w:name="_bookmark0" w:id="2"/>
      <w:bookmarkEnd w:id="2"/>
      <w:r>
        <w:rPr/>
        <w:t>Область</w:t>
      </w:r>
      <w:r>
        <w:rPr/>
        <w:t> применения</w:t>
      </w:r>
    </w:p>
    <w:p>
      <w:pPr>
        <w:pStyle w:val="BodyText"/>
        <w:spacing w:before="11"/>
        <w:rPr>
          <w:b/>
          <w:sz w:val="20"/>
        </w:rPr>
      </w:pPr>
    </w:p>
    <w:p>
      <w:pPr>
        <w:pStyle w:val="BodyText"/>
        <w:spacing w:line="237" w:lineRule="auto"/>
        <w:ind w:left="611" w:right="2112" w:firstLine="9"/>
      </w:pPr>
      <w:r>
        <w:rPr/>
        <w:t>Применяют соответствующий раздел IEC 62841-1 со следующим дополнением. Дополнение:</w:t>
      </w:r>
    </w:p>
    <w:p>
      <w:pPr>
        <w:pStyle w:val="BodyText"/>
        <w:spacing w:before="15"/>
        <w:ind w:left="620"/>
      </w:pPr>
      <w:r>
        <w:rPr/>
        <w:t>Настоящий стандарт распространяется на ручные рубанки (далее — рубанки).</w:t>
      </w:r>
    </w:p>
    <w:p>
      <w:pPr>
        <w:pStyle w:val="BodyText"/>
        <w:spacing w:before="8"/>
        <w:rPr>
          <w:sz w:val="20"/>
        </w:rPr>
      </w:pPr>
    </w:p>
    <w:p>
      <w:pPr>
        <w:pStyle w:val="Heading1"/>
        <w:numPr>
          <w:ilvl w:val="1"/>
          <w:numId w:val="2"/>
        </w:numPr>
        <w:tabs>
          <w:tab w:pos="900" w:val="left" w:leader="none"/>
        </w:tabs>
        <w:spacing w:line="240" w:lineRule="auto" w:before="0" w:after="0"/>
        <w:ind w:left="899" w:right="0" w:hanging="279"/>
        <w:jc w:val="left"/>
      </w:pPr>
      <w:bookmarkStart w:name="_bookmark1" w:id="3"/>
      <w:bookmarkEnd w:id="3"/>
      <w:r>
        <w:rPr>
          <w:b w:val="0"/>
        </w:rPr>
      </w:r>
      <w:bookmarkStart w:name="_bookmark1" w:id="4"/>
      <w:bookmarkEnd w:id="4"/>
      <w:r>
        <w:rPr/>
        <w:t>Нормативны</w:t>
      </w:r>
      <w:r>
        <w:rPr/>
        <w:t>е</w:t>
      </w:r>
      <w:r>
        <w:rPr>
          <w:spacing w:val="-17"/>
        </w:rPr>
        <w:t> </w:t>
      </w:r>
      <w:r>
        <w:rPr/>
        <w:t>ссылки</w:t>
      </w:r>
    </w:p>
    <w:p>
      <w:pPr>
        <w:pStyle w:val="BodyText"/>
        <w:spacing w:before="8"/>
        <w:rPr>
          <w:b/>
          <w:sz w:val="20"/>
        </w:rPr>
      </w:pPr>
    </w:p>
    <w:p>
      <w:pPr>
        <w:pStyle w:val="BodyText"/>
        <w:ind w:left="620"/>
      </w:pPr>
      <w:r>
        <w:rPr/>
        <w:t>Применяют соответствующий раздел IEC 62841-1.</w:t>
      </w:r>
    </w:p>
    <w:p>
      <w:pPr>
        <w:pStyle w:val="BodyText"/>
        <w:spacing w:before="8"/>
        <w:rPr>
          <w:sz w:val="20"/>
        </w:rPr>
      </w:pPr>
    </w:p>
    <w:p>
      <w:pPr>
        <w:pStyle w:val="Heading1"/>
        <w:numPr>
          <w:ilvl w:val="1"/>
          <w:numId w:val="2"/>
        </w:numPr>
        <w:tabs>
          <w:tab w:pos="891" w:val="left" w:leader="none"/>
        </w:tabs>
        <w:spacing w:line="240" w:lineRule="auto" w:before="0" w:after="0"/>
        <w:ind w:left="890" w:right="0" w:hanging="261"/>
        <w:jc w:val="left"/>
      </w:pPr>
      <w:bookmarkStart w:name="_bookmark2" w:id="5"/>
      <w:bookmarkEnd w:id="5"/>
      <w:r>
        <w:rPr>
          <w:b w:val="0"/>
        </w:rPr>
      </w:r>
      <w:bookmarkStart w:name="_bookmark2" w:id="6"/>
      <w:bookmarkEnd w:id="6"/>
      <w:r>
        <w:rPr/>
        <w:t>Термины</w:t>
      </w:r>
      <w:r>
        <w:rPr/>
        <w:t> и определения</w:t>
      </w:r>
    </w:p>
    <w:p>
      <w:pPr>
        <w:pStyle w:val="BodyText"/>
        <w:spacing w:before="8"/>
        <w:rPr>
          <w:b/>
          <w:sz w:val="20"/>
        </w:rPr>
      </w:pPr>
    </w:p>
    <w:p>
      <w:pPr>
        <w:pStyle w:val="BodyText"/>
        <w:spacing w:line="256" w:lineRule="auto" w:before="1"/>
        <w:ind w:left="611" w:right="1902" w:firstLine="9"/>
      </w:pPr>
      <w:r>
        <w:rPr/>
        <w:t>Применяют соответствующий раздел IEC 62841-1 со следующими дополнениями. Дополнение:</w:t>
      </w:r>
    </w:p>
    <w:p>
      <w:pPr>
        <w:pStyle w:val="ListParagraph"/>
        <w:numPr>
          <w:ilvl w:val="2"/>
          <w:numId w:val="2"/>
        </w:numPr>
        <w:tabs>
          <w:tab w:pos="1282" w:val="left" w:leader="none"/>
        </w:tabs>
        <w:spacing w:line="256" w:lineRule="auto" w:before="1" w:after="0"/>
        <w:ind w:left="116" w:right="161" w:firstLine="504"/>
        <w:jc w:val="both"/>
        <w:rPr>
          <w:sz w:val="19"/>
        </w:rPr>
      </w:pPr>
      <w:r>
        <w:rPr>
          <w:sz w:val="19"/>
        </w:rPr>
        <w:t>рубанок (planer): Машина, предназначенная для удаления поверхностного слоя обрабаты­ ваемого материала, имеющая вращающуюся фрезу, ось которой параллельна плоскости опоры, кото­   рая перемещается по объекту</w:t>
      </w:r>
      <w:r>
        <w:rPr>
          <w:spacing w:val="-20"/>
          <w:sz w:val="19"/>
        </w:rPr>
        <w:t> </w:t>
      </w:r>
      <w:r>
        <w:rPr>
          <w:sz w:val="19"/>
        </w:rPr>
        <w:t>обработки.</w:t>
      </w:r>
    </w:p>
    <w:p>
      <w:pPr>
        <w:spacing w:line="288" w:lineRule="auto" w:before="127"/>
        <w:ind w:left="107" w:right="254" w:firstLine="512"/>
        <w:jc w:val="left"/>
        <w:rPr>
          <w:sz w:val="17"/>
        </w:rPr>
      </w:pPr>
      <w:r>
        <w:rPr>
          <w:sz w:val="17"/>
        </w:rPr>
        <w:t>П р и м е ч а н и е   — Опоре состоит из неподвижной опорной плиты и регулируемой чести, положение кото­   рой определяет глубину</w:t>
      </w:r>
      <w:r>
        <w:rPr>
          <w:spacing w:val="-21"/>
          <w:sz w:val="17"/>
        </w:rPr>
        <w:t> </w:t>
      </w:r>
      <w:r>
        <w:rPr>
          <w:sz w:val="17"/>
        </w:rPr>
        <w:t>резания.</w:t>
      </w:r>
    </w:p>
    <w:p>
      <w:pPr>
        <w:pStyle w:val="ListParagraph"/>
        <w:numPr>
          <w:ilvl w:val="2"/>
          <w:numId w:val="2"/>
        </w:numPr>
        <w:tabs>
          <w:tab w:pos="1350" w:val="left" w:leader="none"/>
          <w:tab w:pos="1351" w:val="left" w:leader="none"/>
        </w:tabs>
        <w:spacing w:line="256" w:lineRule="auto" w:before="125" w:after="0"/>
        <w:ind w:left="107" w:right="114" w:firstLine="513"/>
        <w:jc w:val="left"/>
        <w:rPr>
          <w:sz w:val="19"/>
        </w:rPr>
      </w:pPr>
      <w:r>
        <w:rPr>
          <w:sz w:val="19"/>
        </w:rPr>
        <w:t>предохранительное устройство (lift-off device): Устройство, предотвращающее касание ножа(ей)</w:t>
      </w:r>
      <w:r>
        <w:rPr>
          <w:spacing w:val="-5"/>
          <w:sz w:val="19"/>
        </w:rPr>
        <w:t> </w:t>
      </w:r>
      <w:r>
        <w:rPr>
          <w:sz w:val="19"/>
        </w:rPr>
        <w:t>с</w:t>
      </w:r>
      <w:r>
        <w:rPr>
          <w:spacing w:val="-4"/>
          <w:sz w:val="19"/>
        </w:rPr>
        <w:t> </w:t>
      </w:r>
      <w:r>
        <w:rPr>
          <w:sz w:val="19"/>
        </w:rPr>
        <w:t>плоской</w:t>
      </w:r>
      <w:r>
        <w:rPr>
          <w:spacing w:val="-4"/>
          <w:sz w:val="19"/>
        </w:rPr>
        <w:t> </w:t>
      </w:r>
      <w:r>
        <w:rPr>
          <w:sz w:val="19"/>
        </w:rPr>
        <w:t>поверхностью,</w:t>
      </w:r>
      <w:r>
        <w:rPr>
          <w:spacing w:val="-4"/>
          <w:sz w:val="19"/>
        </w:rPr>
        <w:t> </w:t>
      </w:r>
      <w:r>
        <w:rPr>
          <w:sz w:val="19"/>
        </w:rPr>
        <w:t>например</w:t>
      </w:r>
      <w:r>
        <w:rPr>
          <w:spacing w:val="-5"/>
          <w:sz w:val="19"/>
        </w:rPr>
        <w:t> </w:t>
      </w:r>
      <w:r>
        <w:rPr>
          <w:sz w:val="19"/>
        </w:rPr>
        <w:t>верстаком,</w:t>
      </w:r>
      <w:r>
        <w:rPr>
          <w:spacing w:val="-5"/>
          <w:sz w:val="19"/>
        </w:rPr>
        <w:t> </w:t>
      </w:r>
      <w:r>
        <w:rPr>
          <w:sz w:val="19"/>
        </w:rPr>
        <w:t>при</w:t>
      </w:r>
      <w:r>
        <w:rPr>
          <w:spacing w:val="-4"/>
          <w:sz w:val="19"/>
        </w:rPr>
        <w:t> </w:t>
      </w:r>
      <w:r>
        <w:rPr>
          <w:sz w:val="19"/>
        </w:rPr>
        <w:t>установке</w:t>
      </w:r>
      <w:r>
        <w:rPr>
          <w:spacing w:val="-4"/>
          <w:sz w:val="19"/>
        </w:rPr>
        <w:t> </w:t>
      </w:r>
      <w:r>
        <w:rPr>
          <w:sz w:val="19"/>
        </w:rPr>
        <w:t>на</w:t>
      </w:r>
      <w:r>
        <w:rPr>
          <w:spacing w:val="-5"/>
          <w:sz w:val="19"/>
        </w:rPr>
        <w:t> </w:t>
      </w:r>
      <w:r>
        <w:rPr>
          <w:sz w:val="19"/>
        </w:rPr>
        <w:t>нее</w:t>
      </w:r>
      <w:r>
        <w:rPr>
          <w:spacing w:val="-5"/>
          <w:sz w:val="19"/>
        </w:rPr>
        <w:t> </w:t>
      </w:r>
      <w:r>
        <w:rPr>
          <w:sz w:val="19"/>
        </w:rPr>
        <w:t>рубанка.</w:t>
      </w:r>
    </w:p>
    <w:p>
      <w:pPr>
        <w:pStyle w:val="ListParagraph"/>
        <w:numPr>
          <w:ilvl w:val="2"/>
          <w:numId w:val="2"/>
        </w:numPr>
        <w:tabs>
          <w:tab w:pos="1255" w:val="left" w:leader="none"/>
        </w:tabs>
        <w:spacing w:line="256" w:lineRule="auto" w:before="0" w:after="0"/>
        <w:ind w:left="116" w:right="173" w:firstLine="504"/>
        <w:jc w:val="left"/>
        <w:rPr>
          <w:sz w:val="19"/>
        </w:rPr>
      </w:pPr>
      <w:r>
        <w:rPr>
          <w:sz w:val="19"/>
        </w:rPr>
        <w:t>фреза (cutting head): Готовый кработе сборочный узел из ножей, барабана, средств крепле­</w:t>
      </w:r>
      <w:bookmarkStart w:name="_bookmark3" w:id="7"/>
      <w:bookmarkEnd w:id="7"/>
      <w:r>
        <w:rPr>
          <w:sz w:val="19"/>
        </w:rPr>
      </w:r>
      <w:r>
        <w:rPr>
          <w:sz w:val="19"/>
        </w:rPr>
        <w:t> ния ножей, соответствующих винтов и</w:t>
      </w:r>
      <w:r>
        <w:rPr>
          <w:spacing w:val="-24"/>
          <w:sz w:val="19"/>
        </w:rPr>
        <w:t> </w:t>
      </w:r>
      <w:r>
        <w:rPr>
          <w:sz w:val="19"/>
        </w:rPr>
        <w:t>шпинделя.</w:t>
      </w:r>
    </w:p>
    <w:p>
      <w:pPr>
        <w:pStyle w:val="BodyText"/>
        <w:spacing w:before="4"/>
      </w:pPr>
    </w:p>
    <w:p>
      <w:pPr>
        <w:pStyle w:val="Heading1"/>
        <w:numPr>
          <w:ilvl w:val="1"/>
          <w:numId w:val="2"/>
        </w:numPr>
        <w:tabs>
          <w:tab w:pos="890" w:val="left" w:leader="none"/>
        </w:tabs>
        <w:spacing w:line="240" w:lineRule="auto" w:before="0" w:after="0"/>
        <w:ind w:left="890" w:right="0" w:hanging="270"/>
        <w:jc w:val="left"/>
      </w:pPr>
      <w:r>
        <w:rPr/>
        <w:t>Общие требования</w:t>
      </w:r>
    </w:p>
    <w:p>
      <w:pPr>
        <w:pStyle w:val="BodyText"/>
        <w:spacing w:before="8"/>
        <w:rPr>
          <w:b/>
          <w:sz w:val="20"/>
        </w:rPr>
      </w:pPr>
    </w:p>
    <w:p>
      <w:pPr>
        <w:pStyle w:val="BodyText"/>
        <w:ind w:left="620"/>
      </w:pPr>
      <w:bookmarkStart w:name="_bookmark4" w:id="8"/>
      <w:bookmarkEnd w:id="8"/>
      <w:r>
        <w:rPr/>
      </w:r>
      <w:r>
        <w:rPr/>
        <w:t>Применяют соответствующий раздел IEC 62841-1.</w:t>
      </w:r>
    </w:p>
    <w:p>
      <w:pPr>
        <w:pStyle w:val="BodyText"/>
        <w:spacing w:before="1"/>
      </w:pPr>
    </w:p>
    <w:p>
      <w:pPr>
        <w:pStyle w:val="Heading1"/>
        <w:numPr>
          <w:ilvl w:val="1"/>
          <w:numId w:val="2"/>
        </w:numPr>
        <w:tabs>
          <w:tab w:pos="891" w:val="left" w:leader="none"/>
        </w:tabs>
        <w:spacing w:line="240" w:lineRule="auto" w:before="1" w:after="0"/>
        <w:ind w:left="890" w:right="0" w:hanging="261"/>
        <w:jc w:val="left"/>
      </w:pPr>
      <w:r>
        <w:rPr/>
        <w:t>Общие условия</w:t>
      </w:r>
      <w:r>
        <w:rPr>
          <w:spacing w:val="-7"/>
        </w:rPr>
        <w:t> </w:t>
      </w:r>
      <w:r>
        <w:rPr/>
        <w:t>испытаний</w:t>
      </w:r>
    </w:p>
    <w:p>
      <w:pPr>
        <w:pStyle w:val="BodyText"/>
        <w:spacing w:before="8"/>
        <w:rPr>
          <w:b/>
          <w:sz w:val="20"/>
        </w:rPr>
      </w:pPr>
    </w:p>
    <w:p>
      <w:pPr>
        <w:pStyle w:val="BodyText"/>
        <w:spacing w:before="1"/>
        <w:ind w:left="620"/>
      </w:pPr>
      <w:r>
        <w:rPr/>
        <w:t>Применяют соответствующий раздел IEC 62841-1 со следующими дополнениями.</w:t>
      </w:r>
    </w:p>
    <w:p>
      <w:pPr>
        <w:pStyle w:val="BodyText"/>
        <w:spacing w:before="15"/>
        <w:ind w:left="620"/>
      </w:pPr>
      <w:r>
        <w:rPr/>
        <w:t>5.17 Дополнение:</w:t>
      </w:r>
    </w:p>
    <w:p>
      <w:pPr>
        <w:spacing w:line="256" w:lineRule="auto" w:before="15"/>
        <w:ind w:left="106" w:right="254" w:firstLine="513"/>
        <w:jc w:val="left"/>
        <w:rPr>
          <w:i/>
          <w:sz w:val="19"/>
        </w:rPr>
      </w:pPr>
      <w:r>
        <w:rPr>
          <w:i/>
          <w:sz w:val="19"/>
        </w:rPr>
        <w:t>Масса рубанка определяется сучетом фрезы, в том </w:t>
      </w:r>
      <w:r>
        <w:rPr>
          <w:sz w:val="19"/>
        </w:rPr>
        <w:t>числе </w:t>
      </w:r>
      <w:r>
        <w:rPr>
          <w:i/>
          <w:sz w:val="19"/>
        </w:rPr>
        <w:t>ножей, </w:t>
      </w:r>
      <w:r>
        <w:rPr>
          <w:sz w:val="19"/>
        </w:rPr>
        <w:t>и </w:t>
      </w:r>
      <w:r>
        <w:rPr>
          <w:i/>
          <w:sz w:val="19"/>
        </w:rPr>
        <w:t>патрубка стружкосборника, </w:t>
      </w:r>
      <w:r>
        <w:rPr>
          <w:i/>
          <w:sz w:val="19"/>
        </w:rPr>
        <w:t>если он применяется.</w:t>
      </w:r>
    </w:p>
    <w:p>
      <w:pPr>
        <w:pStyle w:val="BodyText"/>
        <w:spacing w:before="6"/>
        <w:rPr>
          <w:i/>
          <w:sz w:val="23"/>
        </w:rPr>
      </w:pPr>
    </w:p>
    <w:p>
      <w:pPr>
        <w:spacing w:before="1"/>
        <w:ind w:left="134" w:right="0" w:firstLine="0"/>
        <w:jc w:val="left"/>
        <w:rPr>
          <w:sz w:val="17"/>
        </w:rPr>
      </w:pPr>
      <w:r>
        <w:rPr>
          <w:sz w:val="17"/>
        </w:rPr>
        <w:t>Издание официальное</w:t>
      </w:r>
    </w:p>
    <w:p>
      <w:pPr>
        <w:pStyle w:val="BodyText"/>
        <w:spacing w:before="10"/>
        <w:rPr>
          <w:sz w:val="15"/>
        </w:rPr>
      </w:pPr>
    </w:p>
    <w:p>
      <w:pPr>
        <w:spacing w:before="0"/>
        <w:ind w:left="0" w:right="113" w:firstLine="0"/>
        <w:jc w:val="right"/>
        <w:rPr>
          <w:b/>
          <w:sz w:val="16"/>
        </w:rPr>
      </w:pPr>
      <w:r>
        <w:rPr>
          <w:b/>
          <w:sz w:val="16"/>
        </w:rPr>
        <w:t>1</w:t>
      </w:r>
    </w:p>
    <w:p>
      <w:pPr>
        <w:spacing w:after="0"/>
        <w:jc w:val="right"/>
        <w:rPr>
          <w:sz w:val="16"/>
        </w:rPr>
        <w:sectPr>
          <w:pgSz w:w="11900" w:h="16840"/>
          <w:pgMar w:header="520" w:footer="515" w:top="720" w:bottom="720" w:left="740" w:right="1300"/>
        </w:sectPr>
      </w:pPr>
    </w:p>
    <w:p>
      <w:pPr>
        <w:pStyle w:val="BodyText"/>
        <w:rPr>
          <w:b/>
          <w:sz w:val="20"/>
        </w:rPr>
      </w:pPr>
    </w:p>
    <w:p>
      <w:pPr>
        <w:pStyle w:val="BodyText"/>
        <w:spacing w:before="4"/>
        <w:rPr>
          <w:b/>
          <w:sz w:val="20"/>
        </w:rPr>
      </w:pPr>
    </w:p>
    <w:p>
      <w:pPr>
        <w:pStyle w:val="BodyText"/>
        <w:ind w:left="122"/>
      </w:pPr>
      <w:r>
        <w:rPr/>
        <w:t>ГОСТ IEC 62841-2.14—2016</w:t>
      </w:r>
    </w:p>
    <w:p>
      <w:pPr>
        <w:pStyle w:val="BodyText"/>
        <w:spacing w:before="9"/>
        <w:rPr>
          <w:sz w:val="23"/>
        </w:rPr>
      </w:pPr>
    </w:p>
    <w:p>
      <w:pPr>
        <w:pStyle w:val="Heading1"/>
        <w:numPr>
          <w:ilvl w:val="1"/>
          <w:numId w:val="2"/>
        </w:numPr>
        <w:tabs>
          <w:tab w:pos="897" w:val="left" w:leader="none"/>
        </w:tabs>
        <w:spacing w:line="240" w:lineRule="auto" w:before="0" w:after="0"/>
        <w:ind w:left="897" w:right="0" w:hanging="270"/>
        <w:jc w:val="left"/>
      </w:pPr>
      <w:bookmarkStart w:name="_bookmark5" w:id="9"/>
      <w:bookmarkEnd w:id="9"/>
      <w:r>
        <w:rPr>
          <w:b w:val="0"/>
        </w:rPr>
      </w:r>
      <w:bookmarkStart w:name="_bookmark5" w:id="10"/>
      <w:bookmarkEnd w:id="10"/>
      <w:r>
        <w:rPr/>
        <w:t>Опасность</w:t>
      </w:r>
      <w:r>
        <w:rPr/>
        <w:t> излучения, токсичность и прочие опасности</w:t>
      </w:r>
    </w:p>
    <w:p>
      <w:pPr>
        <w:pStyle w:val="BodyText"/>
        <w:spacing w:before="3"/>
        <w:rPr>
          <w:b/>
          <w:sz w:val="22"/>
        </w:rPr>
      </w:pPr>
    </w:p>
    <w:p>
      <w:pPr>
        <w:pStyle w:val="BodyText"/>
        <w:ind w:left="636"/>
      </w:pPr>
      <w:bookmarkStart w:name="_bookmark6" w:id="11"/>
      <w:bookmarkEnd w:id="11"/>
      <w:r>
        <w:rPr/>
      </w:r>
      <w:r>
        <w:rPr/>
        <w:t>Применяют соответствующий раздел IEC 62841-1.</w:t>
      </w:r>
    </w:p>
    <w:p>
      <w:pPr>
        <w:pStyle w:val="BodyText"/>
        <w:spacing w:before="8"/>
        <w:rPr>
          <w:sz w:val="20"/>
        </w:rPr>
      </w:pPr>
    </w:p>
    <w:p>
      <w:pPr>
        <w:pStyle w:val="Heading1"/>
        <w:numPr>
          <w:ilvl w:val="1"/>
          <w:numId w:val="2"/>
        </w:numPr>
        <w:tabs>
          <w:tab w:pos="907" w:val="left" w:leader="none"/>
        </w:tabs>
        <w:spacing w:line="240" w:lineRule="auto" w:before="0" w:after="0"/>
        <w:ind w:left="906" w:right="0" w:hanging="279"/>
        <w:jc w:val="left"/>
      </w:pPr>
      <w:r>
        <w:rPr/>
        <w:t>Классификация</w:t>
      </w:r>
    </w:p>
    <w:p>
      <w:pPr>
        <w:pStyle w:val="BodyText"/>
        <w:spacing w:before="3"/>
        <w:rPr>
          <w:b/>
          <w:sz w:val="22"/>
        </w:rPr>
      </w:pPr>
    </w:p>
    <w:p>
      <w:pPr>
        <w:pStyle w:val="BodyText"/>
        <w:ind w:left="636"/>
      </w:pPr>
      <w:bookmarkStart w:name="_bookmark7" w:id="12"/>
      <w:bookmarkEnd w:id="12"/>
      <w:r>
        <w:rPr/>
      </w:r>
      <w:r>
        <w:rPr/>
        <w:t>Применяют соответствующий раздел IEC 62841-1.</w:t>
      </w:r>
    </w:p>
    <w:p>
      <w:pPr>
        <w:pStyle w:val="BodyText"/>
        <w:spacing w:before="7"/>
        <w:rPr>
          <w:sz w:val="20"/>
        </w:rPr>
      </w:pPr>
    </w:p>
    <w:p>
      <w:pPr>
        <w:pStyle w:val="Heading1"/>
        <w:numPr>
          <w:ilvl w:val="1"/>
          <w:numId w:val="2"/>
        </w:numPr>
        <w:tabs>
          <w:tab w:pos="906" w:val="left" w:leader="none"/>
        </w:tabs>
        <w:spacing w:line="240" w:lineRule="auto" w:before="1" w:after="0"/>
        <w:ind w:left="906" w:right="0" w:hanging="270"/>
        <w:jc w:val="left"/>
      </w:pPr>
      <w:r>
        <w:rPr/>
        <w:t>Маркировка и</w:t>
      </w:r>
      <w:r>
        <w:rPr>
          <w:spacing w:val="-9"/>
        </w:rPr>
        <w:t> </w:t>
      </w:r>
      <w:r>
        <w:rPr/>
        <w:t>инструкция</w:t>
      </w:r>
    </w:p>
    <w:p>
      <w:pPr>
        <w:pStyle w:val="BodyText"/>
        <w:spacing w:before="4"/>
        <w:rPr>
          <w:b/>
          <w:sz w:val="22"/>
        </w:rPr>
      </w:pPr>
    </w:p>
    <w:p>
      <w:pPr>
        <w:pStyle w:val="BodyText"/>
        <w:ind w:left="636"/>
      </w:pPr>
      <w:r>
        <w:rPr/>
        <w:t>Применяют соответствующий раздел IEC 62841 -1 со следующими дополнениями.</w:t>
      </w:r>
    </w:p>
    <w:p>
      <w:pPr>
        <w:pStyle w:val="BodyText"/>
        <w:spacing w:line="217" w:lineRule="exact" w:before="15"/>
        <w:ind w:left="627"/>
      </w:pPr>
      <w:r>
        <w:rPr/>
        <w:t>8.1  Дополнение:</w:t>
      </w:r>
    </w:p>
    <w:p>
      <w:pPr>
        <w:pStyle w:val="BodyText"/>
        <w:spacing w:line="217" w:lineRule="exact"/>
        <w:ind w:left="636"/>
      </w:pPr>
      <w:r>
        <w:rPr/>
        <w:t>Рубанок дополнительно должен иметь следующую маркировку:</w:t>
      </w:r>
    </w:p>
    <w:p>
      <w:pPr>
        <w:pStyle w:val="ListParagraph"/>
        <w:numPr>
          <w:ilvl w:val="0"/>
          <w:numId w:val="3"/>
        </w:numPr>
        <w:tabs>
          <w:tab w:pos="798" w:val="left" w:leader="none"/>
        </w:tabs>
        <w:spacing w:line="240" w:lineRule="auto" w:before="16" w:after="0"/>
        <w:ind w:left="114" w:right="0" w:firstLine="513"/>
        <w:jc w:val="left"/>
        <w:rPr>
          <w:sz w:val="19"/>
        </w:rPr>
      </w:pPr>
      <w:r>
        <w:rPr>
          <w:sz w:val="19"/>
        </w:rPr>
        <w:t>частота вращения на холостом</w:t>
      </w:r>
      <w:r>
        <w:rPr>
          <w:spacing w:val="-10"/>
          <w:sz w:val="19"/>
        </w:rPr>
        <w:t> </w:t>
      </w:r>
      <w:r>
        <w:rPr>
          <w:sz w:val="19"/>
        </w:rPr>
        <w:t>ходу.</w:t>
      </w:r>
    </w:p>
    <w:p>
      <w:pPr>
        <w:pStyle w:val="BodyText"/>
        <w:spacing w:before="15"/>
        <w:ind w:left="627"/>
      </w:pPr>
      <w:r>
        <w:rPr/>
        <w:t>8.3 Дополнение:</w:t>
      </w:r>
    </w:p>
    <w:p>
      <w:pPr>
        <w:pStyle w:val="ListParagraph"/>
        <w:numPr>
          <w:ilvl w:val="0"/>
          <w:numId w:val="3"/>
        </w:numPr>
        <w:tabs>
          <w:tab w:pos="848" w:val="left" w:leader="none"/>
        </w:tabs>
        <w:spacing w:line="276" w:lineRule="auto" w:before="15" w:after="0"/>
        <w:ind w:left="114" w:right="123" w:firstLine="522"/>
        <w:jc w:val="left"/>
        <w:rPr>
          <w:sz w:val="19"/>
        </w:rPr>
      </w:pPr>
      <w:r>
        <w:rPr>
          <w:sz w:val="19"/>
        </w:rPr>
        <w:t>обозначение направления вращения фрезы, нанесенное на машину с помощью выпуклой или выдавленной стрелки или иными не менее различимыми и не удаляемыми</w:t>
      </w:r>
      <w:r>
        <w:rPr>
          <w:spacing w:val="-26"/>
          <w:sz w:val="19"/>
        </w:rPr>
        <w:t> </w:t>
      </w:r>
      <w:r>
        <w:rPr>
          <w:sz w:val="19"/>
        </w:rPr>
        <w:t>способами.</w:t>
      </w:r>
    </w:p>
    <w:p>
      <w:pPr>
        <w:pStyle w:val="BodyText"/>
        <w:spacing w:before="1"/>
        <w:ind w:left="627"/>
      </w:pPr>
      <w:r>
        <w:rPr/>
        <w:t>8.14.1  Дополнение:</w:t>
      </w:r>
    </w:p>
    <w:p>
      <w:pPr>
        <w:pStyle w:val="BodyText"/>
        <w:tabs>
          <w:tab w:pos="1601" w:val="left" w:leader="none"/>
          <w:tab w:pos="2532" w:val="left" w:leader="none"/>
          <w:tab w:pos="3710" w:val="left" w:leader="none"/>
          <w:tab w:pos="5440" w:val="left" w:leader="none"/>
          <w:tab w:pos="6466" w:val="left" w:leader="none"/>
          <w:tab w:pos="7045" w:val="left" w:leader="none"/>
          <w:tab w:pos="8543" w:val="left" w:leader="none"/>
        </w:tabs>
        <w:spacing w:line="276" w:lineRule="auto" w:before="33"/>
        <w:ind w:left="114" w:right="122" w:firstLine="521"/>
      </w:pPr>
      <w:r>
        <w:rPr/>
        <w:t>Рубанки</w:t>
        <w:tab/>
        <w:t>должны</w:t>
        <w:tab/>
        <w:t>содержать</w:t>
        <w:tab/>
        <w:t>дополнительные</w:t>
        <w:tab/>
        <w:t>указания</w:t>
        <w:tab/>
        <w:t>мер</w:t>
        <w:tab/>
        <w:t>безопасности,</w:t>
        <w:tab/>
        <w:t>приведенные в 8.14.1.101. Эта часть может быть напечатана отдельно от раздела «Общие правила</w:t>
      </w:r>
      <w:r>
        <w:rPr>
          <w:spacing w:val="-28"/>
        </w:rPr>
        <w:t> </w:t>
      </w:r>
      <w:r>
        <w:rPr/>
        <w:t>безопасности».</w:t>
      </w:r>
    </w:p>
    <w:p>
      <w:pPr>
        <w:pStyle w:val="BodyText"/>
        <w:tabs>
          <w:tab w:pos="1744" w:val="left" w:leader="none"/>
        </w:tabs>
        <w:spacing w:before="20"/>
        <w:ind w:left="617"/>
      </w:pPr>
      <w:r>
        <w:rPr/>
        <w:t>8.14.1.101</w:t>
        <w:tab/>
        <w:t>Дополнительные указания мер безопасности при работе с</w:t>
      </w:r>
      <w:r>
        <w:rPr>
          <w:spacing w:val="-30"/>
        </w:rPr>
        <w:t> </w:t>
      </w:r>
      <w:r>
        <w:rPr/>
        <w:t>рубанками.</w:t>
      </w:r>
    </w:p>
    <w:p>
      <w:pPr>
        <w:pStyle w:val="ListParagraph"/>
        <w:numPr>
          <w:ilvl w:val="0"/>
          <w:numId w:val="4"/>
        </w:numPr>
        <w:tabs>
          <w:tab w:pos="1103" w:val="left" w:leader="none"/>
        </w:tabs>
        <w:spacing w:line="276" w:lineRule="auto" w:before="33" w:after="0"/>
        <w:ind w:left="114" w:right="106" w:firstLine="513"/>
        <w:jc w:val="both"/>
        <w:rPr>
          <w:sz w:val="19"/>
        </w:rPr>
      </w:pPr>
      <w:r>
        <w:rPr>
          <w:sz w:val="19"/>
        </w:rPr>
        <w:t>Перед установкой  машины  на  поверхность,  дождитесь  полной  остановки  фрезы.  </w:t>
      </w:r>
      <w:r>
        <w:rPr>
          <w:i/>
          <w:sz w:val="19"/>
        </w:rPr>
        <w:t>Открытая вращающаяся фреза </w:t>
      </w:r>
      <w:r>
        <w:rPr>
          <w:sz w:val="19"/>
        </w:rPr>
        <w:t>может </w:t>
      </w:r>
      <w:r>
        <w:rPr>
          <w:i/>
          <w:sz w:val="19"/>
        </w:rPr>
        <w:t>зацепиться за поверхность и привести к потере управления      </w:t>
      </w:r>
      <w:r>
        <w:rPr>
          <w:i/>
          <w:sz w:val="19"/>
        </w:rPr>
        <w:t>и тяжелым телесным</w:t>
      </w:r>
      <w:r>
        <w:rPr>
          <w:i/>
          <w:spacing w:val="-7"/>
          <w:sz w:val="19"/>
        </w:rPr>
        <w:t> </w:t>
      </w:r>
      <w:r>
        <w:rPr>
          <w:sz w:val="19"/>
        </w:rPr>
        <w:t>повреждениям.</w:t>
      </w:r>
    </w:p>
    <w:p>
      <w:pPr>
        <w:pStyle w:val="ListParagraph"/>
        <w:numPr>
          <w:ilvl w:val="0"/>
          <w:numId w:val="4"/>
        </w:numPr>
        <w:tabs>
          <w:tab w:pos="1042" w:val="left" w:leader="none"/>
        </w:tabs>
        <w:spacing w:line="276" w:lineRule="auto" w:before="1" w:after="0"/>
        <w:ind w:left="113" w:right="104" w:firstLine="514"/>
        <w:jc w:val="both"/>
        <w:rPr>
          <w:i/>
          <w:sz w:val="15"/>
        </w:rPr>
      </w:pPr>
      <w:r>
        <w:rPr>
          <w:sz w:val="19"/>
        </w:rPr>
        <w:t>)    Удерживайте    машину    только    за    изолированную    поверхность    рукоятки,    так    как фреза может  повредить  собственный  кабель.  </w:t>
      </w:r>
      <w:r>
        <w:rPr>
          <w:i/>
          <w:sz w:val="19"/>
        </w:rPr>
        <w:t>При  повреждении  находящегося  под   напряжением кабеля </w:t>
      </w:r>
      <w:r>
        <w:rPr>
          <w:i/>
          <w:sz w:val="19"/>
        </w:rPr>
        <w:t>питания  доступные  </w:t>
      </w:r>
      <w:r>
        <w:rPr>
          <w:sz w:val="19"/>
        </w:rPr>
        <w:t>металлическое  </w:t>
      </w:r>
      <w:r>
        <w:rPr>
          <w:i/>
          <w:sz w:val="19"/>
        </w:rPr>
        <w:t>части  машины  могут  попасть  под  напряжение  и вызвать </w:t>
      </w:r>
      <w:r>
        <w:rPr>
          <w:i/>
          <w:sz w:val="19"/>
        </w:rPr>
        <w:t>поражение оператора электрическим</w:t>
      </w:r>
      <w:r>
        <w:rPr>
          <w:i/>
          <w:spacing w:val="-18"/>
          <w:sz w:val="19"/>
        </w:rPr>
        <w:t> </w:t>
      </w:r>
      <w:r>
        <w:rPr>
          <w:i/>
          <w:sz w:val="19"/>
        </w:rPr>
        <w:t>током.</w:t>
      </w:r>
    </w:p>
    <w:p>
      <w:pPr>
        <w:pStyle w:val="ListParagraph"/>
        <w:numPr>
          <w:ilvl w:val="0"/>
          <w:numId w:val="4"/>
        </w:numPr>
        <w:tabs>
          <w:tab w:pos="1066" w:val="left" w:leader="none"/>
        </w:tabs>
        <w:spacing w:line="276" w:lineRule="auto" w:before="1" w:after="0"/>
        <w:ind w:left="113" w:right="103" w:firstLine="504"/>
        <w:jc w:val="both"/>
        <w:rPr>
          <w:i/>
          <w:sz w:val="19"/>
        </w:rPr>
      </w:pPr>
      <w:r>
        <w:rPr>
          <w:sz w:val="19"/>
        </w:rPr>
        <w:t>Пользуйтесь   струбцинами   или   иными   подходящими   средствами   крепления   заготовки   на устойчивом основании. </w:t>
      </w:r>
      <w:r>
        <w:rPr>
          <w:i/>
          <w:sz w:val="19"/>
        </w:rPr>
        <w:t>Удержание заготовки рукой или другими части тела может привести к </w:t>
      </w:r>
      <w:r>
        <w:rPr>
          <w:i/>
          <w:sz w:val="19"/>
        </w:rPr>
        <w:t>потере</w:t>
      </w:r>
      <w:r>
        <w:rPr>
          <w:i/>
          <w:spacing w:val="-6"/>
          <w:sz w:val="19"/>
        </w:rPr>
        <w:t> </w:t>
      </w:r>
      <w:r>
        <w:rPr>
          <w:i/>
          <w:sz w:val="19"/>
        </w:rPr>
        <w:t>управления.</w:t>
      </w:r>
    </w:p>
    <w:p>
      <w:pPr>
        <w:pStyle w:val="BodyText"/>
        <w:spacing w:before="1"/>
        <w:ind w:left="627"/>
      </w:pPr>
      <w:r>
        <w:rPr/>
        <w:t>8.14.2  Ь)Дополнение:</w:t>
      </w:r>
    </w:p>
    <w:p>
      <w:pPr>
        <w:pStyle w:val="ListParagraph"/>
        <w:numPr>
          <w:ilvl w:val="0"/>
          <w:numId w:val="5"/>
        </w:numPr>
        <w:tabs>
          <w:tab w:pos="1141" w:val="left" w:leader="none"/>
        </w:tabs>
        <w:spacing w:line="240" w:lineRule="auto" w:before="51" w:after="0"/>
        <w:ind w:left="1140" w:right="0" w:hanging="504"/>
        <w:jc w:val="left"/>
        <w:rPr>
          <w:sz w:val="19"/>
        </w:rPr>
      </w:pPr>
      <w:r>
        <w:rPr>
          <w:sz w:val="19"/>
        </w:rPr>
        <w:t>Инструкция по регулировке глубины строгания (до максимальной</w:t>
      </w:r>
      <w:r>
        <w:rPr>
          <w:spacing w:val="-21"/>
          <w:sz w:val="19"/>
        </w:rPr>
        <w:t> </w:t>
      </w:r>
      <w:r>
        <w:rPr>
          <w:sz w:val="19"/>
        </w:rPr>
        <w:t>величины).</w:t>
      </w:r>
    </w:p>
    <w:p>
      <w:pPr>
        <w:pStyle w:val="ListParagraph"/>
        <w:numPr>
          <w:ilvl w:val="0"/>
          <w:numId w:val="5"/>
        </w:numPr>
        <w:tabs>
          <w:tab w:pos="1141" w:val="left" w:leader="none"/>
        </w:tabs>
        <w:spacing w:line="240" w:lineRule="auto" w:before="33" w:after="0"/>
        <w:ind w:left="1140" w:right="0" w:hanging="504"/>
        <w:jc w:val="left"/>
        <w:rPr>
          <w:sz w:val="19"/>
        </w:rPr>
      </w:pPr>
      <w:r>
        <w:rPr>
          <w:sz w:val="19"/>
        </w:rPr>
        <w:t>Инструкция по использованию системы удаления стружки.</w:t>
      </w:r>
    </w:p>
    <w:p>
      <w:pPr>
        <w:pStyle w:val="BodyText"/>
        <w:spacing w:before="33"/>
        <w:ind w:left="617"/>
      </w:pPr>
      <w:r>
        <w:rPr/>
        <w:t>8.14.2 с) Дополнение:</w:t>
      </w:r>
    </w:p>
    <w:p>
      <w:pPr>
        <w:pStyle w:val="ListParagraph"/>
        <w:numPr>
          <w:ilvl w:val="0"/>
          <w:numId w:val="6"/>
        </w:numPr>
        <w:tabs>
          <w:tab w:pos="1149" w:val="left" w:leader="none"/>
        </w:tabs>
        <w:spacing w:line="240" w:lineRule="auto" w:before="33" w:after="0"/>
        <w:ind w:left="1149" w:right="0" w:hanging="513"/>
        <w:jc w:val="left"/>
        <w:rPr>
          <w:sz w:val="19"/>
        </w:rPr>
      </w:pPr>
      <w:r>
        <w:rPr>
          <w:sz w:val="19"/>
        </w:rPr>
        <w:t>Информация о типах фрез, которые могут быть</w:t>
      </w:r>
      <w:r>
        <w:rPr>
          <w:spacing w:val="-5"/>
          <w:sz w:val="19"/>
        </w:rPr>
        <w:t> </w:t>
      </w:r>
      <w:r>
        <w:rPr>
          <w:sz w:val="19"/>
        </w:rPr>
        <w:t>использованы.</w:t>
      </w:r>
    </w:p>
    <w:p>
      <w:pPr>
        <w:pStyle w:val="ListParagraph"/>
        <w:numPr>
          <w:ilvl w:val="0"/>
          <w:numId w:val="6"/>
        </w:numPr>
        <w:tabs>
          <w:tab w:pos="1149" w:val="left" w:leader="none"/>
        </w:tabs>
        <w:spacing w:line="240" w:lineRule="auto" w:before="33" w:after="0"/>
        <w:ind w:left="1149" w:right="0" w:hanging="513"/>
        <w:jc w:val="left"/>
        <w:rPr>
          <w:sz w:val="19"/>
        </w:rPr>
      </w:pPr>
      <w:r>
        <w:rPr>
          <w:sz w:val="19"/>
        </w:rPr>
        <w:t>Инструкция по смене и регулировке сменных</w:t>
      </w:r>
      <w:r>
        <w:rPr>
          <w:spacing w:val="-17"/>
          <w:sz w:val="19"/>
        </w:rPr>
        <w:t> </w:t>
      </w:r>
      <w:r>
        <w:rPr>
          <w:sz w:val="19"/>
        </w:rPr>
        <w:t>ножей.</w:t>
      </w:r>
    </w:p>
    <w:p>
      <w:pPr>
        <w:pStyle w:val="ListParagraph"/>
        <w:numPr>
          <w:ilvl w:val="0"/>
          <w:numId w:val="6"/>
        </w:numPr>
        <w:tabs>
          <w:tab w:pos="1149" w:val="left" w:leader="none"/>
        </w:tabs>
        <w:spacing w:line="240" w:lineRule="auto" w:before="33" w:after="0"/>
        <w:ind w:left="1149" w:right="0" w:hanging="513"/>
        <w:jc w:val="left"/>
        <w:rPr>
          <w:sz w:val="19"/>
        </w:rPr>
      </w:pPr>
      <w:bookmarkStart w:name="_bookmark8" w:id="13"/>
      <w:bookmarkEnd w:id="13"/>
      <w:r>
        <w:rPr/>
      </w:r>
      <w:bookmarkStart w:name="_bookmark8" w:id="14"/>
      <w:bookmarkEnd w:id="14"/>
      <w:r>
        <w:rPr>
          <w:sz w:val="19"/>
        </w:rPr>
        <w:t>Инструкция</w:t>
      </w:r>
      <w:r>
        <w:rPr>
          <w:sz w:val="19"/>
        </w:rPr>
        <w:t> о порядке очистке отверстия для выброса</w:t>
      </w:r>
      <w:r>
        <w:rPr>
          <w:spacing w:val="-27"/>
          <w:sz w:val="19"/>
        </w:rPr>
        <w:t> </w:t>
      </w:r>
      <w:r>
        <w:rPr>
          <w:sz w:val="19"/>
        </w:rPr>
        <w:t>стружки.</w:t>
      </w:r>
    </w:p>
    <w:p>
      <w:pPr>
        <w:pStyle w:val="BodyText"/>
        <w:spacing w:before="3"/>
        <w:rPr>
          <w:sz w:val="22"/>
        </w:rPr>
      </w:pPr>
    </w:p>
    <w:p>
      <w:pPr>
        <w:pStyle w:val="Heading1"/>
        <w:numPr>
          <w:ilvl w:val="1"/>
          <w:numId w:val="2"/>
        </w:numPr>
        <w:tabs>
          <w:tab w:pos="897" w:val="left" w:leader="none"/>
        </w:tabs>
        <w:spacing w:line="240" w:lineRule="auto" w:before="0" w:after="0"/>
        <w:ind w:left="897" w:right="0" w:hanging="270"/>
        <w:jc w:val="left"/>
      </w:pPr>
      <w:r>
        <w:rPr/>
        <w:t>Защита от контакта с токоведущими</w:t>
      </w:r>
      <w:r>
        <w:rPr>
          <w:spacing w:val="-15"/>
        </w:rPr>
        <w:t> </w:t>
      </w:r>
      <w:r>
        <w:rPr/>
        <w:t>частями</w:t>
      </w:r>
    </w:p>
    <w:p>
      <w:pPr>
        <w:pStyle w:val="BodyText"/>
        <w:spacing w:before="3"/>
        <w:rPr>
          <w:b/>
          <w:sz w:val="22"/>
        </w:rPr>
      </w:pPr>
    </w:p>
    <w:p>
      <w:pPr>
        <w:pStyle w:val="BodyText"/>
        <w:ind w:left="636"/>
      </w:pPr>
      <w:bookmarkStart w:name="_bookmark9" w:id="15"/>
      <w:bookmarkEnd w:id="15"/>
      <w:r>
        <w:rPr/>
      </w:r>
      <w:r>
        <w:rPr/>
        <w:t>Применяют соответствующий раздел IEC 62841-1.</w:t>
      </w:r>
    </w:p>
    <w:p>
      <w:pPr>
        <w:pStyle w:val="BodyText"/>
        <w:spacing w:before="8"/>
        <w:rPr>
          <w:sz w:val="20"/>
        </w:rPr>
      </w:pPr>
    </w:p>
    <w:p>
      <w:pPr>
        <w:pStyle w:val="Heading1"/>
        <w:numPr>
          <w:ilvl w:val="1"/>
          <w:numId w:val="2"/>
        </w:numPr>
        <w:tabs>
          <w:tab w:pos="1032" w:val="left" w:leader="none"/>
        </w:tabs>
        <w:spacing w:line="240" w:lineRule="auto" w:before="0" w:after="0"/>
        <w:ind w:left="1032" w:right="0" w:hanging="396"/>
        <w:jc w:val="left"/>
      </w:pPr>
      <w:r>
        <w:rPr/>
        <w:t>Пуск</w:t>
      </w:r>
    </w:p>
    <w:p>
      <w:pPr>
        <w:pStyle w:val="BodyText"/>
        <w:spacing w:before="3"/>
        <w:rPr>
          <w:b/>
          <w:sz w:val="22"/>
        </w:rPr>
      </w:pPr>
    </w:p>
    <w:p>
      <w:pPr>
        <w:pStyle w:val="BodyText"/>
        <w:ind w:left="636"/>
      </w:pPr>
      <w:bookmarkStart w:name="_bookmark10" w:id="16"/>
      <w:bookmarkEnd w:id="16"/>
      <w:r>
        <w:rPr/>
      </w:r>
      <w:r>
        <w:rPr/>
        <w:t>Применяют соответствующий раздел IEC 62841 -1.</w:t>
      </w:r>
    </w:p>
    <w:p>
      <w:pPr>
        <w:pStyle w:val="BodyText"/>
        <w:spacing w:before="8"/>
        <w:rPr>
          <w:sz w:val="20"/>
        </w:rPr>
      </w:pPr>
    </w:p>
    <w:p>
      <w:pPr>
        <w:pStyle w:val="Heading1"/>
        <w:numPr>
          <w:ilvl w:val="1"/>
          <w:numId w:val="2"/>
        </w:numPr>
        <w:tabs>
          <w:tab w:pos="1032" w:val="left" w:leader="none"/>
        </w:tabs>
        <w:spacing w:line="240" w:lineRule="auto" w:before="0" w:after="0"/>
        <w:ind w:left="1032" w:right="0" w:hanging="396"/>
        <w:jc w:val="left"/>
      </w:pPr>
      <w:r>
        <w:rPr/>
        <w:t>Потребляемая мощность и ток</w:t>
      </w:r>
    </w:p>
    <w:p>
      <w:pPr>
        <w:pStyle w:val="BodyText"/>
        <w:spacing w:before="8"/>
        <w:rPr>
          <w:b/>
          <w:sz w:val="20"/>
        </w:rPr>
      </w:pPr>
    </w:p>
    <w:p>
      <w:pPr>
        <w:pStyle w:val="BodyText"/>
        <w:spacing w:before="1"/>
        <w:ind w:left="636"/>
      </w:pPr>
      <w:bookmarkStart w:name="_bookmark11" w:id="17"/>
      <w:bookmarkEnd w:id="17"/>
      <w:r>
        <w:rPr/>
      </w:r>
      <w:r>
        <w:rPr/>
        <w:t>Применяют соответствующий раздел IEC 62841-1.</w:t>
      </w:r>
    </w:p>
    <w:p>
      <w:pPr>
        <w:pStyle w:val="BodyText"/>
        <w:spacing w:before="3"/>
        <w:rPr>
          <w:sz w:val="22"/>
        </w:rPr>
      </w:pPr>
    </w:p>
    <w:p>
      <w:pPr>
        <w:pStyle w:val="Heading1"/>
        <w:numPr>
          <w:ilvl w:val="1"/>
          <w:numId w:val="2"/>
        </w:numPr>
        <w:tabs>
          <w:tab w:pos="1032" w:val="left" w:leader="none"/>
        </w:tabs>
        <w:spacing w:line="240" w:lineRule="auto" w:before="0" w:after="0"/>
        <w:ind w:left="1032" w:right="0" w:hanging="396"/>
        <w:jc w:val="left"/>
      </w:pPr>
      <w:r>
        <w:rPr/>
        <w:t>Нагрев</w:t>
      </w:r>
    </w:p>
    <w:p>
      <w:pPr>
        <w:pStyle w:val="BodyText"/>
        <w:spacing w:before="8"/>
        <w:rPr>
          <w:b/>
          <w:sz w:val="20"/>
        </w:rPr>
      </w:pPr>
    </w:p>
    <w:p>
      <w:pPr>
        <w:pStyle w:val="BodyText"/>
        <w:ind w:left="636"/>
      </w:pPr>
      <w:r>
        <w:rPr/>
        <w:t>Применяют соответствующий раздел IEC 62841-1.</w:t>
      </w:r>
    </w:p>
    <w:p>
      <w:pPr>
        <w:pStyle w:val="BodyText"/>
        <w:spacing w:before="3"/>
        <w:rPr>
          <w:sz w:val="16"/>
        </w:rPr>
      </w:pPr>
    </w:p>
    <w:p>
      <w:pPr>
        <w:spacing w:before="0"/>
        <w:ind w:left="114" w:right="0" w:firstLine="0"/>
        <w:jc w:val="left"/>
        <w:rPr>
          <w:b/>
          <w:sz w:val="16"/>
        </w:rPr>
      </w:pPr>
      <w:r>
        <w:rPr>
          <w:b/>
          <w:sz w:val="16"/>
        </w:rPr>
        <w:t>2</w:t>
      </w:r>
    </w:p>
    <w:p>
      <w:pPr>
        <w:spacing w:after="0"/>
        <w:jc w:val="left"/>
        <w:rPr>
          <w:sz w:val="16"/>
        </w:rPr>
        <w:sectPr>
          <w:pgSz w:w="11900" w:h="16840"/>
          <w:pgMar w:header="520" w:footer="515" w:top="720" w:bottom="720" w:left="1300" w:right="740"/>
        </w:sectPr>
      </w:pPr>
    </w:p>
    <w:p>
      <w:pPr>
        <w:pStyle w:val="BodyText"/>
        <w:rPr>
          <w:b/>
          <w:sz w:val="20"/>
        </w:rPr>
      </w:pPr>
    </w:p>
    <w:p>
      <w:pPr>
        <w:pStyle w:val="BodyText"/>
        <w:spacing w:before="4"/>
        <w:rPr>
          <w:b/>
          <w:sz w:val="20"/>
        </w:rPr>
      </w:pPr>
    </w:p>
    <w:p>
      <w:pPr>
        <w:pStyle w:val="BodyText"/>
        <w:ind w:right="213"/>
        <w:jc w:val="right"/>
      </w:pPr>
      <w:r>
        <w:rPr/>
        <w:t>ГОСТ 1ЕС 62841-2-14—2016</w:t>
      </w:r>
    </w:p>
    <w:p>
      <w:pPr>
        <w:pStyle w:val="BodyText"/>
        <w:spacing w:before="9"/>
        <w:rPr>
          <w:sz w:val="15"/>
        </w:rPr>
      </w:pPr>
    </w:p>
    <w:p>
      <w:pPr>
        <w:pStyle w:val="Heading1"/>
        <w:numPr>
          <w:ilvl w:val="1"/>
          <w:numId w:val="2"/>
        </w:numPr>
        <w:tabs>
          <w:tab w:pos="1037" w:val="left" w:leader="none"/>
        </w:tabs>
        <w:spacing w:line="240" w:lineRule="auto" w:before="92" w:after="0"/>
        <w:ind w:left="1036" w:right="0" w:hanging="387"/>
        <w:jc w:val="left"/>
      </w:pPr>
      <w:bookmarkStart w:name="_bookmark12" w:id="18"/>
      <w:bookmarkEnd w:id="18"/>
      <w:r>
        <w:rPr>
          <w:b w:val="0"/>
        </w:rPr>
      </w:r>
      <w:bookmarkStart w:name="_bookmark12" w:id="19"/>
      <w:bookmarkEnd w:id="19"/>
      <w:r>
        <w:rPr/>
        <w:t>Теплостойкость</w:t>
      </w:r>
      <w:r>
        <w:rPr/>
        <w:t> и огнестойкость</w:t>
      </w:r>
    </w:p>
    <w:p>
      <w:pPr>
        <w:pStyle w:val="BodyText"/>
        <w:spacing w:before="8"/>
        <w:rPr>
          <w:b/>
          <w:sz w:val="20"/>
        </w:rPr>
      </w:pPr>
    </w:p>
    <w:p>
      <w:pPr>
        <w:pStyle w:val="BodyText"/>
        <w:ind w:left="640"/>
      </w:pPr>
      <w:bookmarkStart w:name="_bookmark13" w:id="20"/>
      <w:bookmarkEnd w:id="20"/>
      <w:r>
        <w:rPr/>
      </w:r>
      <w:r>
        <w:rPr/>
        <w:t>Применяют соответствующий раздел IEC 62841*1.</w:t>
      </w:r>
    </w:p>
    <w:p>
      <w:pPr>
        <w:pStyle w:val="BodyText"/>
        <w:spacing w:before="9"/>
        <w:rPr>
          <w:sz w:val="23"/>
        </w:rPr>
      </w:pPr>
    </w:p>
    <w:p>
      <w:pPr>
        <w:pStyle w:val="Heading1"/>
        <w:numPr>
          <w:ilvl w:val="1"/>
          <w:numId w:val="2"/>
        </w:numPr>
        <w:tabs>
          <w:tab w:pos="1045" w:val="left" w:leader="none"/>
        </w:tabs>
        <w:spacing w:line="240" w:lineRule="auto" w:before="0" w:after="0"/>
        <w:ind w:left="1045" w:right="0" w:hanging="396"/>
        <w:jc w:val="left"/>
      </w:pPr>
      <w:r>
        <w:rPr/>
        <w:t>Влагостойкость</w:t>
      </w:r>
    </w:p>
    <w:p>
      <w:pPr>
        <w:pStyle w:val="BodyText"/>
        <w:spacing w:before="8"/>
        <w:rPr>
          <w:b/>
          <w:sz w:val="20"/>
        </w:rPr>
      </w:pPr>
    </w:p>
    <w:p>
      <w:pPr>
        <w:pStyle w:val="BodyText"/>
        <w:ind w:left="640"/>
      </w:pPr>
      <w:bookmarkStart w:name="_bookmark14" w:id="21"/>
      <w:bookmarkEnd w:id="21"/>
      <w:r>
        <w:rPr/>
      </w:r>
      <w:r>
        <w:rPr/>
        <w:t>Применяют соответствующий раздел IEC62841-1.</w:t>
      </w:r>
    </w:p>
    <w:p>
      <w:pPr>
        <w:pStyle w:val="BodyText"/>
        <w:spacing w:before="3"/>
        <w:rPr>
          <w:sz w:val="22"/>
        </w:rPr>
      </w:pPr>
    </w:p>
    <w:p>
      <w:pPr>
        <w:pStyle w:val="Heading1"/>
        <w:numPr>
          <w:ilvl w:val="1"/>
          <w:numId w:val="2"/>
        </w:numPr>
        <w:tabs>
          <w:tab w:pos="1045" w:val="left" w:leader="none"/>
        </w:tabs>
        <w:spacing w:line="240" w:lineRule="auto" w:before="0" w:after="0"/>
        <w:ind w:left="1045" w:right="0" w:hanging="396"/>
        <w:jc w:val="left"/>
      </w:pPr>
      <w:r>
        <w:rPr/>
        <w:t>Коррозионностойкость</w:t>
      </w:r>
    </w:p>
    <w:p>
      <w:pPr>
        <w:pStyle w:val="BodyText"/>
        <w:spacing w:before="8"/>
        <w:rPr>
          <w:b/>
          <w:sz w:val="20"/>
        </w:rPr>
      </w:pPr>
    </w:p>
    <w:p>
      <w:pPr>
        <w:pStyle w:val="BodyText"/>
        <w:ind w:left="640"/>
      </w:pPr>
      <w:bookmarkStart w:name="_bookmark15" w:id="22"/>
      <w:bookmarkEnd w:id="22"/>
      <w:r>
        <w:rPr/>
      </w:r>
      <w:r>
        <w:rPr/>
        <w:t>Применяют соответствующий раздел IEC 62841*1.</w:t>
      </w:r>
    </w:p>
    <w:p>
      <w:pPr>
        <w:pStyle w:val="BodyText"/>
        <w:spacing w:before="3"/>
        <w:rPr>
          <w:sz w:val="22"/>
        </w:rPr>
      </w:pPr>
    </w:p>
    <w:p>
      <w:pPr>
        <w:pStyle w:val="Heading1"/>
        <w:numPr>
          <w:ilvl w:val="1"/>
          <w:numId w:val="2"/>
        </w:numPr>
        <w:tabs>
          <w:tab w:pos="1037" w:val="left" w:leader="none"/>
        </w:tabs>
        <w:spacing w:line="240" w:lineRule="auto" w:before="0" w:after="0"/>
        <w:ind w:left="1036" w:right="0" w:hanging="387"/>
        <w:jc w:val="left"/>
      </w:pPr>
      <w:r>
        <w:rPr/>
        <w:t>Защита от перегрузки трансформаторов и соединенных с ними</w:t>
      </w:r>
      <w:r>
        <w:rPr>
          <w:spacing w:val="-18"/>
        </w:rPr>
        <w:t> </w:t>
      </w:r>
      <w:r>
        <w:rPr/>
        <w:t>частей</w:t>
      </w:r>
    </w:p>
    <w:p>
      <w:pPr>
        <w:pStyle w:val="BodyText"/>
        <w:spacing w:before="8"/>
        <w:rPr>
          <w:b/>
          <w:sz w:val="20"/>
        </w:rPr>
      </w:pPr>
    </w:p>
    <w:p>
      <w:pPr>
        <w:pStyle w:val="BodyText"/>
        <w:spacing w:before="1"/>
        <w:ind w:left="640"/>
      </w:pPr>
      <w:r>
        <w:rPr/>
        <w:t>Применяют соответствующий раздел IEC 62841*1.</w:t>
      </w:r>
    </w:p>
    <w:p>
      <w:pPr>
        <w:pStyle w:val="BodyText"/>
        <w:spacing w:before="3"/>
        <w:rPr>
          <w:sz w:val="22"/>
        </w:rPr>
      </w:pPr>
    </w:p>
    <w:p>
      <w:pPr>
        <w:pStyle w:val="Heading1"/>
        <w:numPr>
          <w:ilvl w:val="1"/>
          <w:numId w:val="2"/>
        </w:numPr>
        <w:tabs>
          <w:tab w:pos="1045" w:val="left" w:leader="none"/>
        </w:tabs>
        <w:spacing w:line="240" w:lineRule="auto" w:before="1" w:after="0"/>
        <w:ind w:left="1045" w:right="0" w:hanging="396"/>
        <w:jc w:val="left"/>
      </w:pPr>
      <w:bookmarkStart w:name="_bookmark16" w:id="23"/>
      <w:bookmarkEnd w:id="23"/>
      <w:r>
        <w:rPr>
          <w:b w:val="0"/>
        </w:rPr>
      </w:r>
      <w:bookmarkStart w:name="_bookmark16" w:id="24"/>
      <w:bookmarkEnd w:id="24"/>
      <w:r>
        <w:rPr/>
        <w:t>Надежность</w:t>
      </w:r>
    </w:p>
    <w:p>
      <w:pPr>
        <w:pStyle w:val="BodyText"/>
        <w:spacing w:before="9"/>
        <w:rPr>
          <w:b/>
          <w:sz w:val="20"/>
        </w:rPr>
      </w:pPr>
    </w:p>
    <w:p>
      <w:pPr>
        <w:pStyle w:val="BodyText"/>
        <w:ind w:left="640"/>
      </w:pPr>
      <w:r>
        <w:rPr/>
        <w:t>Применяют соответствующий раздел IEC 62841*1 со следующим дополнением.</w:t>
      </w:r>
    </w:p>
    <w:p>
      <w:pPr>
        <w:pStyle w:val="BodyText"/>
        <w:spacing w:before="33"/>
        <w:ind w:left="649"/>
      </w:pPr>
      <w:r>
        <w:rPr/>
        <w:t>17.101   Дополнение</w:t>
      </w:r>
    </w:p>
    <w:p>
      <w:pPr>
        <w:pStyle w:val="BodyText"/>
        <w:spacing w:line="276" w:lineRule="auto" w:before="33"/>
        <w:ind w:left="118" w:right="512" w:firstLine="522"/>
      </w:pPr>
      <w:r>
        <w:rPr/>
        <w:t>Если для соответствия требования 18.8 или 21.18.1.1 применяют предохранительное устройство, то оно должно быть достаточно надежным.</w:t>
      </w:r>
    </w:p>
    <w:p>
      <w:pPr>
        <w:spacing w:before="1"/>
        <w:ind w:left="649" w:right="0" w:firstLine="0"/>
        <w:jc w:val="left"/>
        <w:rPr>
          <w:i/>
          <w:sz w:val="19"/>
        </w:rPr>
      </w:pPr>
      <w:r>
        <w:rPr>
          <w:i/>
          <w:sz w:val="19"/>
        </w:rPr>
        <w:t>Соответствие проверяют следующим испытанием, проводимым на новом образца машины.</w:t>
      </w:r>
    </w:p>
    <w:p>
      <w:pPr>
        <w:spacing w:line="276" w:lineRule="auto" w:before="33"/>
        <w:ind w:left="127" w:right="1072" w:firstLine="513"/>
        <w:jc w:val="left"/>
        <w:rPr>
          <w:i/>
          <w:sz w:val="19"/>
        </w:rPr>
      </w:pPr>
      <w:r>
        <w:rPr>
          <w:i/>
          <w:sz w:val="19"/>
        </w:rPr>
        <w:t>Рубанок устанавливают в горизонтальном положении. Предохранительное устройство </w:t>
      </w:r>
      <w:r>
        <w:rPr>
          <w:sz w:val="19"/>
        </w:rPr>
        <w:t>должно </w:t>
      </w:r>
      <w:r>
        <w:rPr>
          <w:i/>
          <w:sz w:val="19"/>
        </w:rPr>
        <w:t>совершать 50000 циклов по предполагаемой траектории работы с частотой не ме­ </w:t>
      </w:r>
      <w:r>
        <w:rPr>
          <w:i/>
          <w:sz w:val="19"/>
        </w:rPr>
        <w:t>нее 10 циклов в минуту.</w:t>
      </w:r>
    </w:p>
    <w:p>
      <w:pPr>
        <w:spacing w:before="1"/>
        <w:ind w:left="640" w:right="0" w:firstLine="0"/>
        <w:jc w:val="left"/>
        <w:rPr>
          <w:i/>
          <w:sz w:val="19"/>
        </w:rPr>
      </w:pPr>
      <w:bookmarkStart w:name="_bookmark17" w:id="25"/>
      <w:bookmarkEnd w:id="25"/>
      <w:r>
        <w:rPr/>
      </w:r>
      <w:r>
        <w:rPr>
          <w:i/>
          <w:sz w:val="19"/>
        </w:rPr>
        <w:t>После завершения испытания рубанок должен соответствовать требованиям 19.111</w:t>
      </w:r>
    </w:p>
    <w:p>
      <w:pPr>
        <w:pStyle w:val="BodyText"/>
        <w:spacing w:before="2"/>
        <w:rPr>
          <w:i/>
          <w:sz w:val="22"/>
        </w:rPr>
      </w:pPr>
    </w:p>
    <w:p>
      <w:pPr>
        <w:pStyle w:val="Heading1"/>
        <w:numPr>
          <w:ilvl w:val="1"/>
          <w:numId w:val="2"/>
        </w:numPr>
        <w:tabs>
          <w:tab w:pos="1045" w:val="left" w:leader="none"/>
        </w:tabs>
        <w:spacing w:line="240" w:lineRule="auto" w:before="1" w:after="0"/>
        <w:ind w:left="1045" w:right="0" w:hanging="396"/>
        <w:jc w:val="left"/>
      </w:pPr>
      <w:r>
        <w:rPr/>
        <w:t>Ненормальный режим</w:t>
      </w:r>
      <w:r>
        <w:rPr>
          <w:spacing w:val="-12"/>
        </w:rPr>
        <w:t> </w:t>
      </w:r>
      <w:r>
        <w:rPr/>
        <w:t>работы</w:t>
      </w:r>
    </w:p>
    <w:p>
      <w:pPr>
        <w:pStyle w:val="BodyText"/>
        <w:spacing w:before="9"/>
        <w:rPr>
          <w:b/>
          <w:sz w:val="20"/>
        </w:rPr>
      </w:pPr>
    </w:p>
    <w:p>
      <w:pPr>
        <w:pStyle w:val="BodyText"/>
        <w:ind w:left="640"/>
      </w:pPr>
      <w:r>
        <w:rPr/>
        <w:t>Применяют соответствующий раздел (ЕС 62841*1 со следующими изменениями.</w:t>
      </w:r>
    </w:p>
    <w:p>
      <w:pPr>
        <w:pStyle w:val="BodyText"/>
        <w:spacing w:before="15"/>
        <w:ind w:left="649"/>
      </w:pPr>
      <w:r>
        <w:rPr/>
        <w:t>18.8 Замена таблицы 4.</w:t>
      </w:r>
    </w:p>
    <w:p>
      <w:pPr>
        <w:pStyle w:val="BodyText"/>
        <w:spacing w:before="3"/>
        <w:rPr>
          <w:sz w:val="23"/>
        </w:rPr>
      </w:pPr>
    </w:p>
    <w:p>
      <w:pPr>
        <w:spacing w:before="0"/>
        <w:ind w:left="126" w:right="0" w:firstLine="0"/>
        <w:jc w:val="left"/>
        <w:rPr>
          <w:sz w:val="17"/>
        </w:rPr>
      </w:pPr>
      <w:r>
        <w:rPr>
          <w:sz w:val="17"/>
        </w:rPr>
        <w:t>Т а б л и ц а  </w:t>
      </w:r>
      <w:r>
        <w:rPr>
          <w:sz w:val="14"/>
        </w:rPr>
        <w:t>4  </w:t>
      </w:r>
      <w:r>
        <w:rPr>
          <w:sz w:val="17"/>
        </w:rPr>
        <w:t>— Требуемые уровни эффективности</w:t>
      </w:r>
    </w:p>
    <w:p>
      <w:pPr>
        <w:pStyle w:val="BodyText"/>
        <w:spacing w:before="1"/>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11"/>
        <w:gridCol w:w="1746"/>
      </w:tblGrid>
      <w:tr>
        <w:trPr>
          <w:trHeight w:val="700" w:hRule="atLeast"/>
        </w:trPr>
        <w:tc>
          <w:tcPr>
            <w:tcW w:w="7911" w:type="dxa"/>
          </w:tcPr>
          <w:p>
            <w:pPr>
              <w:pStyle w:val="TableParagraph"/>
              <w:spacing w:before="5"/>
              <w:rPr>
                <w:sz w:val="22"/>
              </w:rPr>
            </w:pPr>
          </w:p>
          <w:p>
            <w:pPr>
              <w:pStyle w:val="TableParagraph"/>
              <w:ind w:left="1871"/>
              <w:rPr>
                <w:sz w:val="17"/>
              </w:rPr>
            </w:pPr>
            <w:r>
              <w:rPr>
                <w:sz w:val="17"/>
              </w:rPr>
              <w:t>Тип и назначение важной для безопасное!* функции</w:t>
            </w:r>
          </w:p>
        </w:tc>
        <w:tc>
          <w:tcPr>
            <w:tcW w:w="1746" w:type="dxa"/>
          </w:tcPr>
          <w:p>
            <w:pPr>
              <w:pStyle w:val="TableParagraph"/>
              <w:spacing w:line="242" w:lineRule="auto" w:before="150"/>
              <w:ind w:left="237" w:right="60" w:hanging="174"/>
              <w:rPr>
                <w:sz w:val="17"/>
              </w:rPr>
            </w:pPr>
            <w:r>
              <w:rPr>
                <w:sz w:val="17"/>
              </w:rPr>
              <w:t>Требуемый уровень эффективности</w:t>
            </w:r>
          </w:p>
        </w:tc>
      </w:tr>
      <w:tr>
        <w:trPr>
          <w:trHeight w:val="360" w:hRule="atLeast"/>
        </w:trPr>
        <w:tc>
          <w:tcPr>
            <w:tcW w:w="7911" w:type="dxa"/>
          </w:tcPr>
          <w:p>
            <w:pPr>
              <w:pStyle w:val="TableParagraph"/>
              <w:spacing w:before="114"/>
              <w:ind w:left="408"/>
              <w:rPr>
                <w:sz w:val="17"/>
              </w:rPr>
            </w:pPr>
            <w:r>
              <w:rPr>
                <w:sz w:val="17"/>
              </w:rPr>
              <w:t>Выключатель литания, предотвращающий нежелательное включение рубанка</w:t>
            </w:r>
          </w:p>
        </w:tc>
        <w:tc>
          <w:tcPr>
            <w:tcW w:w="1746" w:type="dxa"/>
          </w:tcPr>
          <w:p>
            <w:pPr>
              <w:pStyle w:val="TableParagraph"/>
              <w:spacing w:before="142"/>
              <w:ind w:right="24"/>
              <w:jc w:val="center"/>
              <w:rPr>
                <w:sz w:val="14"/>
              </w:rPr>
            </w:pPr>
            <w:r>
              <w:rPr>
                <w:sz w:val="14"/>
              </w:rPr>
              <w:t>С</w:t>
            </w:r>
          </w:p>
        </w:tc>
      </w:tr>
      <w:tr>
        <w:trPr>
          <w:trHeight w:val="580" w:hRule="atLeast"/>
        </w:trPr>
        <w:tc>
          <w:tcPr>
            <w:tcW w:w="7911" w:type="dxa"/>
          </w:tcPr>
          <w:p>
            <w:pPr>
              <w:pStyle w:val="TableParagraph"/>
              <w:spacing w:line="264" w:lineRule="auto" w:before="105"/>
              <w:ind w:left="111" w:right="819" w:firstLine="296"/>
              <w:rPr>
                <w:sz w:val="17"/>
              </w:rPr>
            </w:pPr>
            <w:r>
              <w:rPr>
                <w:sz w:val="17"/>
              </w:rPr>
              <w:t>Выключатель питания, обеспечивающий желательное выключение рубанков с пре­ дохранительным устройством</w:t>
            </w:r>
          </w:p>
        </w:tc>
        <w:tc>
          <w:tcPr>
            <w:tcW w:w="1746" w:type="dxa"/>
          </w:tcPr>
          <w:p>
            <w:pPr>
              <w:pStyle w:val="TableParagraph"/>
              <w:spacing w:before="123"/>
              <w:ind w:right="25"/>
              <w:jc w:val="center"/>
              <w:rPr>
                <w:sz w:val="17"/>
              </w:rPr>
            </w:pPr>
            <w:r>
              <w:rPr>
                <w:sz w:val="17"/>
              </w:rPr>
              <w:t>а</w:t>
            </w:r>
          </w:p>
        </w:tc>
      </w:tr>
      <w:tr>
        <w:trPr>
          <w:trHeight w:val="560" w:hRule="atLeast"/>
        </w:trPr>
        <w:tc>
          <w:tcPr>
            <w:tcW w:w="7911" w:type="dxa"/>
          </w:tcPr>
          <w:p>
            <w:pPr>
              <w:pStyle w:val="TableParagraph"/>
              <w:spacing w:line="230" w:lineRule="atLeast" w:before="53"/>
              <w:ind w:left="102" w:right="634" w:firstLine="305"/>
              <w:rPr>
                <w:sz w:val="17"/>
              </w:rPr>
            </w:pPr>
            <w:r>
              <w:rPr>
                <w:sz w:val="17"/>
              </w:rPr>
              <w:t>Выключатель питания, обеспечивающий желательное выключение рубанков без пре­ дохранительного устройства</w:t>
            </w:r>
          </w:p>
        </w:tc>
        <w:tc>
          <w:tcPr>
            <w:tcW w:w="1746" w:type="dxa"/>
          </w:tcPr>
          <w:p>
            <w:pPr>
              <w:pStyle w:val="TableParagraph"/>
              <w:spacing w:before="105"/>
              <w:ind w:right="16"/>
              <w:jc w:val="center"/>
              <w:rPr>
                <w:sz w:val="17"/>
              </w:rPr>
            </w:pPr>
            <w:r>
              <w:rPr>
                <w:sz w:val="17"/>
              </w:rPr>
              <w:t>Ь</w:t>
            </w:r>
          </w:p>
        </w:tc>
      </w:tr>
      <w:tr>
        <w:trPr>
          <w:trHeight w:val="380" w:hRule="atLeast"/>
        </w:trPr>
        <w:tc>
          <w:tcPr>
            <w:tcW w:w="7911" w:type="dxa"/>
          </w:tcPr>
          <w:p>
            <w:pPr>
              <w:pStyle w:val="TableParagraph"/>
              <w:spacing w:before="123"/>
              <w:ind w:left="399"/>
              <w:rPr>
                <w:sz w:val="17"/>
              </w:rPr>
            </w:pPr>
            <w:r>
              <w:rPr>
                <w:sz w:val="17"/>
              </w:rPr>
              <w:t>Любой электронный регулятор должен пройти испытание по 18.3</w:t>
            </w:r>
          </w:p>
        </w:tc>
        <w:tc>
          <w:tcPr>
            <w:tcW w:w="1746" w:type="dxa"/>
          </w:tcPr>
          <w:p>
            <w:pPr>
              <w:pStyle w:val="TableParagraph"/>
              <w:spacing w:before="123"/>
              <w:ind w:right="25"/>
              <w:jc w:val="center"/>
              <w:rPr>
                <w:sz w:val="17"/>
              </w:rPr>
            </w:pPr>
            <w:r>
              <w:rPr>
                <w:sz w:val="17"/>
              </w:rPr>
              <w:t>а</w:t>
            </w:r>
          </w:p>
        </w:tc>
      </w:tr>
      <w:tr>
        <w:trPr>
          <w:trHeight w:val="580" w:hRule="atLeast"/>
        </w:trPr>
        <w:tc>
          <w:tcPr>
            <w:tcW w:w="7911" w:type="dxa"/>
          </w:tcPr>
          <w:p>
            <w:pPr>
              <w:pStyle w:val="TableParagraph"/>
              <w:spacing w:line="264" w:lineRule="auto" w:before="105"/>
              <w:ind w:left="120" w:right="439" w:firstLine="288"/>
              <w:rPr>
                <w:sz w:val="17"/>
              </w:rPr>
            </w:pPr>
            <w:r>
              <w:rPr>
                <w:sz w:val="17"/>
              </w:rPr>
              <w:t>Предотвращение превышения частоты вращения более 130 </w:t>
            </w:r>
            <w:r>
              <w:rPr>
                <w:i/>
                <w:sz w:val="17"/>
              </w:rPr>
              <w:t>% </w:t>
            </w:r>
            <w:r>
              <w:rPr>
                <w:sz w:val="17"/>
              </w:rPr>
              <w:t>от номинальной частоты вращения фрезы на холостом ходу</w:t>
            </w:r>
          </w:p>
        </w:tc>
        <w:tc>
          <w:tcPr>
            <w:tcW w:w="1746" w:type="dxa"/>
          </w:tcPr>
          <w:p>
            <w:pPr>
              <w:pStyle w:val="TableParagraph"/>
              <w:spacing w:before="123"/>
              <w:ind w:right="16"/>
              <w:jc w:val="center"/>
              <w:rPr>
                <w:sz w:val="17"/>
              </w:rPr>
            </w:pPr>
            <w:r>
              <w:rPr>
                <w:sz w:val="17"/>
              </w:rPr>
              <w:t>Ь</w:t>
            </w:r>
          </w:p>
        </w:tc>
      </w:tr>
      <w:tr>
        <w:trPr>
          <w:trHeight w:val="360" w:hRule="atLeast"/>
        </w:trPr>
        <w:tc>
          <w:tcPr>
            <w:tcW w:w="7911" w:type="dxa"/>
          </w:tcPr>
          <w:p>
            <w:pPr>
              <w:pStyle w:val="TableParagraph"/>
              <w:spacing w:before="123"/>
              <w:ind w:left="399"/>
              <w:rPr>
                <w:sz w:val="17"/>
              </w:rPr>
            </w:pPr>
            <w:r>
              <w:rPr>
                <w:sz w:val="17"/>
              </w:rPr>
              <w:t>Обеспечение рабочего направления вращения</w:t>
            </w:r>
          </w:p>
        </w:tc>
        <w:tc>
          <w:tcPr>
            <w:tcW w:w="1746" w:type="dxa"/>
          </w:tcPr>
          <w:p>
            <w:pPr>
              <w:pStyle w:val="TableParagraph"/>
              <w:spacing w:before="123"/>
              <w:ind w:right="25"/>
              <w:jc w:val="center"/>
              <w:rPr>
                <w:sz w:val="17"/>
              </w:rPr>
            </w:pPr>
            <w:r>
              <w:rPr>
                <w:sz w:val="17"/>
              </w:rPr>
              <w:t>а</w:t>
            </w:r>
          </w:p>
        </w:tc>
      </w:tr>
      <w:tr>
        <w:trPr>
          <w:trHeight w:val="380" w:hRule="atLeast"/>
        </w:trPr>
        <w:tc>
          <w:tcPr>
            <w:tcW w:w="7911" w:type="dxa"/>
          </w:tcPr>
          <w:p>
            <w:pPr>
              <w:pStyle w:val="TableParagraph"/>
              <w:spacing w:before="123"/>
              <w:ind w:left="408"/>
              <w:rPr>
                <w:sz w:val="17"/>
              </w:rPr>
            </w:pPr>
            <w:r>
              <w:rPr>
                <w:sz w:val="17"/>
              </w:rPr>
              <w:t>Предотвращение превышения тепловых пределов в соответствие с разделом 18</w:t>
            </w:r>
          </w:p>
        </w:tc>
        <w:tc>
          <w:tcPr>
            <w:tcW w:w="1746" w:type="dxa"/>
          </w:tcPr>
          <w:p>
            <w:pPr>
              <w:pStyle w:val="TableParagraph"/>
              <w:spacing w:before="123"/>
              <w:ind w:right="25"/>
              <w:jc w:val="center"/>
              <w:rPr>
                <w:sz w:val="17"/>
              </w:rPr>
            </w:pPr>
            <w:r>
              <w:rPr>
                <w:sz w:val="17"/>
              </w:rPr>
              <w:t>а</w:t>
            </w:r>
          </w:p>
        </w:tc>
      </w:tr>
      <w:tr>
        <w:trPr>
          <w:trHeight w:val="380" w:hRule="atLeast"/>
        </w:trPr>
        <w:tc>
          <w:tcPr>
            <w:tcW w:w="7911" w:type="dxa"/>
          </w:tcPr>
          <w:p>
            <w:pPr>
              <w:pStyle w:val="TableParagraph"/>
              <w:spacing w:before="123"/>
              <w:ind w:left="408"/>
              <w:rPr>
                <w:sz w:val="17"/>
              </w:rPr>
            </w:pPr>
            <w:r>
              <w:rPr>
                <w:sz w:val="17"/>
              </w:rPr>
              <w:t>Предотвращение самоаозврата в соответствии с 23.3</w:t>
            </w:r>
          </w:p>
        </w:tc>
        <w:tc>
          <w:tcPr>
            <w:tcW w:w="1746" w:type="dxa"/>
          </w:tcPr>
          <w:p>
            <w:pPr>
              <w:pStyle w:val="TableParagraph"/>
              <w:spacing w:before="123"/>
              <w:ind w:right="16"/>
              <w:jc w:val="center"/>
              <w:rPr>
                <w:sz w:val="17"/>
              </w:rPr>
            </w:pPr>
            <w:r>
              <w:rPr>
                <w:sz w:val="17"/>
              </w:rPr>
              <w:t>Ь</w:t>
            </w:r>
          </w:p>
        </w:tc>
      </w:tr>
      <w:tr>
        <w:trPr>
          <w:trHeight w:val="380" w:hRule="atLeast"/>
        </w:trPr>
        <w:tc>
          <w:tcPr>
            <w:tcW w:w="7911" w:type="dxa"/>
          </w:tcPr>
          <w:p>
            <w:pPr>
              <w:pStyle w:val="TableParagraph"/>
              <w:spacing w:before="123"/>
              <w:ind w:left="408"/>
              <w:rPr>
                <w:sz w:val="17"/>
              </w:rPr>
            </w:pPr>
            <w:r>
              <w:rPr>
                <w:sz w:val="17"/>
              </w:rPr>
              <w:t>Блокировка в положении «отключено» в соответствии с 21.18.1.2</w:t>
            </w:r>
          </w:p>
        </w:tc>
        <w:tc>
          <w:tcPr>
            <w:tcW w:w="1746" w:type="dxa"/>
          </w:tcPr>
          <w:p>
            <w:pPr>
              <w:pStyle w:val="TableParagraph"/>
              <w:spacing w:before="123"/>
              <w:ind w:right="16"/>
              <w:jc w:val="center"/>
              <w:rPr>
                <w:sz w:val="17"/>
              </w:rPr>
            </w:pPr>
            <w:r>
              <w:rPr>
                <w:sz w:val="17"/>
              </w:rPr>
              <w:t>Ь</w:t>
            </w:r>
          </w:p>
        </w:tc>
      </w:tr>
    </w:tbl>
    <w:p>
      <w:pPr>
        <w:pStyle w:val="BodyText"/>
        <w:spacing w:before="1"/>
        <w:rPr>
          <w:sz w:val="20"/>
        </w:rPr>
      </w:pPr>
    </w:p>
    <w:p>
      <w:pPr>
        <w:pStyle w:val="BodyText"/>
        <w:ind w:right="125"/>
        <w:jc w:val="right"/>
      </w:pPr>
      <w:r>
        <w:rPr/>
        <w:t>3</w:t>
      </w:r>
    </w:p>
    <w:p>
      <w:pPr>
        <w:spacing w:after="0"/>
        <w:jc w:val="right"/>
        <w:sectPr>
          <w:pgSz w:w="11900" w:h="16840"/>
          <w:pgMar w:header="520" w:footer="515" w:top="720" w:bottom="720" w:left="720" w:right="1280"/>
        </w:sectPr>
      </w:pPr>
    </w:p>
    <w:p>
      <w:pPr>
        <w:pStyle w:val="BodyText"/>
        <w:rPr>
          <w:sz w:val="20"/>
        </w:rPr>
      </w:pPr>
    </w:p>
    <w:p>
      <w:pPr>
        <w:pStyle w:val="BodyText"/>
        <w:spacing w:before="4"/>
        <w:rPr>
          <w:sz w:val="20"/>
        </w:rPr>
      </w:pPr>
    </w:p>
    <w:p>
      <w:pPr>
        <w:pStyle w:val="BodyText"/>
        <w:ind w:left="122"/>
      </w:pPr>
      <w:r>
        <w:rPr/>
        <w:t>ГОСТ IEC 62841.2-14—2016</w:t>
      </w:r>
    </w:p>
    <w:p>
      <w:pPr>
        <w:pStyle w:val="BodyText"/>
        <w:spacing w:before="9"/>
        <w:rPr>
          <w:sz w:val="23"/>
        </w:rPr>
      </w:pPr>
    </w:p>
    <w:p>
      <w:pPr>
        <w:pStyle w:val="Heading1"/>
        <w:numPr>
          <w:ilvl w:val="1"/>
          <w:numId w:val="2"/>
        </w:numPr>
        <w:tabs>
          <w:tab w:pos="1053" w:val="left" w:leader="none"/>
        </w:tabs>
        <w:spacing w:line="240" w:lineRule="auto" w:before="0" w:after="0"/>
        <w:ind w:left="1052" w:right="0" w:hanging="407"/>
        <w:jc w:val="left"/>
      </w:pPr>
      <w:bookmarkStart w:name="_bookmark18" w:id="26"/>
      <w:bookmarkEnd w:id="26"/>
      <w:r>
        <w:rPr>
          <w:b w:val="0"/>
        </w:rPr>
      </w:r>
      <w:bookmarkStart w:name="_bookmark18" w:id="27"/>
      <w:bookmarkEnd w:id="27"/>
      <w:r>
        <w:rPr/>
        <w:t>Механическа</w:t>
      </w:r>
      <w:r>
        <w:rPr/>
        <w:t>я</w:t>
      </w:r>
      <w:r>
        <w:rPr>
          <w:spacing w:val="-11"/>
        </w:rPr>
        <w:t> </w:t>
      </w:r>
      <w:r>
        <w:rPr/>
        <w:t>безопасность</w:t>
      </w:r>
    </w:p>
    <w:p>
      <w:pPr>
        <w:pStyle w:val="BodyText"/>
        <w:spacing w:before="3"/>
        <w:rPr>
          <w:b/>
          <w:sz w:val="22"/>
        </w:rPr>
      </w:pPr>
    </w:p>
    <w:p>
      <w:pPr>
        <w:pStyle w:val="BodyText"/>
        <w:ind w:left="636"/>
      </w:pPr>
      <w:r>
        <w:rPr/>
        <w:t>Применяют соответствующий раздел IEC 62841 -1 со следующими дополнениями.</w:t>
      </w:r>
    </w:p>
    <w:p>
      <w:pPr>
        <w:pStyle w:val="BodyText"/>
        <w:spacing w:before="33"/>
        <w:ind w:left="636"/>
      </w:pPr>
      <w:r>
        <w:rPr/>
        <w:t>19.1  Дополнение:</w:t>
      </w:r>
    </w:p>
    <w:p>
      <w:pPr>
        <w:spacing w:line="256" w:lineRule="auto" w:before="15"/>
        <w:ind w:left="114" w:right="0" w:firstLine="495"/>
        <w:jc w:val="left"/>
        <w:rPr>
          <w:i/>
          <w:sz w:val="19"/>
        </w:rPr>
      </w:pPr>
      <w:r>
        <w:rPr>
          <w:i/>
          <w:sz w:val="19"/>
        </w:rPr>
        <w:t>Для проверни выполнения требований по 19.107.19.108 и 19.109 применяется только испыта­ </w:t>
      </w:r>
      <w:r>
        <w:rPr>
          <w:i/>
          <w:sz w:val="19"/>
        </w:rPr>
        <w:t>тельный щуп. </w:t>
      </w:r>
      <w:r>
        <w:rPr>
          <w:sz w:val="19"/>
        </w:rPr>
        <w:t>показанный </w:t>
      </w:r>
      <w:r>
        <w:rPr>
          <w:i/>
          <w:sz w:val="19"/>
        </w:rPr>
        <w:t>на рисунке 102.</w:t>
      </w:r>
    </w:p>
    <w:p>
      <w:pPr>
        <w:pStyle w:val="BodyText"/>
        <w:spacing w:line="249" w:lineRule="auto"/>
        <w:ind w:left="105" w:right="118" w:firstLine="530"/>
        <w:jc w:val="both"/>
      </w:pPr>
      <w:r>
        <w:rPr/>
        <w:t>19.4.101 Рубанки массой более 3 кг, измеренной по 5.17. должны иметь не менее двух рукояток. Дополнительная рукоятка, если таковая предусмотрена конструкцией, может быть использована для настройки глубины строгания, при условии, что данная регулировка осуществляется посредством вра­ щения.</w:t>
      </w:r>
    </w:p>
    <w:p>
      <w:pPr>
        <w:spacing w:before="24"/>
        <w:ind w:left="636" w:right="0" w:firstLine="0"/>
        <w:jc w:val="left"/>
        <w:rPr>
          <w:i/>
          <w:sz w:val="19"/>
        </w:rPr>
      </w:pPr>
      <w:r>
        <w:rPr>
          <w:i/>
          <w:sz w:val="19"/>
        </w:rPr>
        <w:t>Соответствие проверяют </w:t>
      </w:r>
      <w:r>
        <w:rPr>
          <w:sz w:val="19"/>
        </w:rPr>
        <w:t>осмотром </w:t>
      </w:r>
      <w:r>
        <w:rPr>
          <w:i/>
          <w:sz w:val="19"/>
        </w:rPr>
        <w:t>и измерением.</w:t>
      </w:r>
    </w:p>
    <w:p>
      <w:pPr>
        <w:pStyle w:val="ListParagraph"/>
        <w:numPr>
          <w:ilvl w:val="1"/>
          <w:numId w:val="7"/>
        </w:numPr>
        <w:tabs>
          <w:tab w:pos="1408" w:val="left" w:leader="none"/>
        </w:tabs>
        <w:spacing w:line="256" w:lineRule="auto" w:before="14" w:after="0"/>
        <w:ind w:left="114" w:right="158" w:firstLine="522"/>
        <w:jc w:val="left"/>
        <w:rPr>
          <w:sz w:val="19"/>
        </w:rPr>
      </w:pPr>
      <w:r>
        <w:rPr>
          <w:sz w:val="19"/>
        </w:rPr>
        <w:t>Фреза должна быть цилиндрической формы за исключением ножей, лаза исредств крепле­ ния</w:t>
      </w:r>
      <w:r>
        <w:rPr>
          <w:spacing w:val="-8"/>
          <w:sz w:val="19"/>
        </w:rPr>
        <w:t> </w:t>
      </w:r>
      <w:r>
        <w:rPr>
          <w:sz w:val="19"/>
        </w:rPr>
        <w:t>ножа.</w:t>
      </w:r>
    </w:p>
    <w:p>
      <w:pPr>
        <w:pStyle w:val="BodyText"/>
        <w:ind w:left="636"/>
      </w:pPr>
      <w:r>
        <w:rPr/>
        <w:t>Максимальная ширина паза должна составлять:</w:t>
      </w:r>
    </w:p>
    <w:p>
      <w:pPr>
        <w:pStyle w:val="BodyText"/>
        <w:spacing w:before="123"/>
        <w:ind w:left="420" w:right="85"/>
        <w:jc w:val="center"/>
      </w:pPr>
      <w:r>
        <w:rPr/>
        <w:t>= 0,2354 ♦ 7.2 мм</w:t>
      </w:r>
    </w:p>
    <w:p>
      <w:pPr>
        <w:pStyle w:val="BodyText"/>
        <w:spacing w:before="123"/>
        <w:ind w:left="114"/>
      </w:pPr>
      <w:r>
        <w:rPr/>
        <w:t>где </w:t>
      </w:r>
      <w:r>
        <w:rPr>
          <w:i/>
        </w:rPr>
        <w:t>d </w:t>
      </w:r>
      <w:r>
        <w:rPr/>
        <w:t>— диаметр окружности вращающийся фрезы, показанный на рисунке 101.</w:t>
      </w:r>
    </w:p>
    <w:p>
      <w:pPr>
        <w:spacing w:before="15"/>
        <w:ind w:left="636" w:right="0" w:firstLine="0"/>
        <w:jc w:val="left"/>
        <w:rPr>
          <w:i/>
          <w:sz w:val="19"/>
        </w:rPr>
      </w:pPr>
      <w:r>
        <w:rPr>
          <w:i/>
          <w:sz w:val="19"/>
        </w:rPr>
        <w:t>Соответствие проверяют осмотром и измерением.</w:t>
      </w:r>
    </w:p>
    <w:p>
      <w:pPr>
        <w:pStyle w:val="ListParagraph"/>
        <w:numPr>
          <w:ilvl w:val="1"/>
          <w:numId w:val="7"/>
        </w:numPr>
        <w:tabs>
          <w:tab w:pos="1405" w:val="left" w:leader="none"/>
        </w:tabs>
        <w:spacing w:line="237" w:lineRule="auto" w:before="35" w:after="0"/>
        <w:ind w:left="114" w:right="118" w:firstLine="522"/>
        <w:jc w:val="left"/>
        <w:rPr>
          <w:sz w:val="19"/>
        </w:rPr>
      </w:pPr>
      <w:r>
        <w:rPr>
          <w:sz w:val="19"/>
        </w:rPr>
        <w:t>При регулировке ножей относительно неподвижной опоры, они не должны выступать из барабана</w:t>
      </w:r>
      <w:r>
        <w:rPr>
          <w:spacing w:val="-3"/>
          <w:sz w:val="19"/>
        </w:rPr>
        <w:t> </w:t>
      </w:r>
      <w:r>
        <w:rPr>
          <w:sz w:val="19"/>
        </w:rPr>
        <w:t>на</w:t>
      </w:r>
      <w:r>
        <w:rPr>
          <w:spacing w:val="-4"/>
          <w:sz w:val="19"/>
        </w:rPr>
        <w:t> </w:t>
      </w:r>
      <w:r>
        <w:rPr>
          <w:sz w:val="19"/>
        </w:rPr>
        <w:t>расстояние</w:t>
      </w:r>
      <w:r>
        <w:rPr>
          <w:spacing w:val="-4"/>
          <w:sz w:val="19"/>
        </w:rPr>
        <w:t> </w:t>
      </w:r>
      <w:r>
        <w:rPr>
          <w:sz w:val="19"/>
        </w:rPr>
        <w:t>более</w:t>
      </w:r>
      <w:r>
        <w:rPr>
          <w:spacing w:val="-3"/>
          <w:sz w:val="19"/>
        </w:rPr>
        <w:t> </w:t>
      </w:r>
      <w:r>
        <w:rPr>
          <w:sz w:val="19"/>
        </w:rPr>
        <w:t>1.1</w:t>
      </w:r>
      <w:r>
        <w:rPr>
          <w:spacing w:val="-3"/>
          <w:sz w:val="19"/>
        </w:rPr>
        <w:t> </w:t>
      </w:r>
      <w:r>
        <w:rPr>
          <w:sz w:val="19"/>
        </w:rPr>
        <w:t>мм</w:t>
      </w:r>
      <w:r>
        <w:rPr>
          <w:spacing w:val="-3"/>
          <w:sz w:val="19"/>
        </w:rPr>
        <w:t> </w:t>
      </w:r>
      <w:r>
        <w:rPr>
          <w:sz w:val="19"/>
        </w:rPr>
        <w:t>в</w:t>
      </w:r>
      <w:r>
        <w:rPr>
          <w:spacing w:val="-4"/>
          <w:sz w:val="19"/>
        </w:rPr>
        <w:t> </w:t>
      </w:r>
      <w:r>
        <w:rPr>
          <w:sz w:val="19"/>
        </w:rPr>
        <w:t>радиальном</w:t>
      </w:r>
      <w:r>
        <w:rPr>
          <w:spacing w:val="-4"/>
          <w:sz w:val="19"/>
        </w:rPr>
        <w:t> </w:t>
      </w:r>
      <w:r>
        <w:rPr>
          <w:sz w:val="19"/>
        </w:rPr>
        <w:t>направлении</w:t>
      </w:r>
      <w:r>
        <w:rPr>
          <w:spacing w:val="-4"/>
          <w:sz w:val="19"/>
        </w:rPr>
        <w:t> </w:t>
      </w:r>
      <w:r>
        <w:rPr>
          <w:sz w:val="19"/>
        </w:rPr>
        <w:t>(величина</w:t>
      </w:r>
      <w:r>
        <w:rPr>
          <w:spacing w:val="-3"/>
          <w:sz w:val="19"/>
        </w:rPr>
        <w:t> </w:t>
      </w:r>
      <w:r>
        <w:rPr>
          <w:sz w:val="19"/>
        </w:rPr>
        <w:t>«а»</w:t>
      </w:r>
      <w:r>
        <w:rPr>
          <w:spacing w:val="-3"/>
          <w:sz w:val="19"/>
        </w:rPr>
        <w:t> </w:t>
      </w:r>
      <w:r>
        <w:rPr>
          <w:sz w:val="19"/>
        </w:rPr>
        <w:t>на</w:t>
      </w:r>
      <w:r>
        <w:rPr>
          <w:spacing w:val="-4"/>
          <w:sz w:val="19"/>
        </w:rPr>
        <w:t> </w:t>
      </w:r>
      <w:r>
        <w:rPr>
          <w:sz w:val="19"/>
        </w:rPr>
        <w:t>рисунке</w:t>
      </w:r>
      <w:r>
        <w:rPr>
          <w:spacing w:val="-4"/>
          <w:sz w:val="19"/>
        </w:rPr>
        <w:t> </w:t>
      </w:r>
      <w:r>
        <w:rPr>
          <w:sz w:val="19"/>
        </w:rPr>
        <w:t>101}.</w:t>
      </w:r>
    </w:p>
    <w:p>
      <w:pPr>
        <w:spacing w:before="33"/>
        <w:ind w:left="636" w:right="0" w:firstLine="0"/>
        <w:jc w:val="left"/>
        <w:rPr>
          <w:i/>
          <w:sz w:val="19"/>
        </w:rPr>
      </w:pPr>
      <w:r>
        <w:rPr>
          <w:i/>
          <w:sz w:val="19"/>
        </w:rPr>
        <w:t>Соответствие проверяют измерением.</w:t>
      </w:r>
    </w:p>
    <w:p>
      <w:pPr>
        <w:pStyle w:val="ListParagraph"/>
        <w:numPr>
          <w:ilvl w:val="1"/>
          <w:numId w:val="7"/>
        </w:numPr>
        <w:tabs>
          <w:tab w:pos="1422" w:val="left" w:leader="none"/>
        </w:tabs>
        <w:spacing w:line="247" w:lineRule="auto" w:before="15" w:after="0"/>
        <w:ind w:left="105" w:right="123" w:firstLine="531"/>
        <w:jc w:val="both"/>
        <w:rPr>
          <w:sz w:val="19"/>
        </w:rPr>
      </w:pPr>
      <w:r>
        <w:rPr>
          <w:sz w:val="19"/>
        </w:rPr>
        <w:t>При любой глубине строгания расстояние «б» между окружностью вращения фрезы и задней кромкой регулируемой опоры не должно превышать 5 мм при измерении в радиальном направ­ лении, как показано на рисунке</w:t>
      </w:r>
      <w:r>
        <w:rPr>
          <w:spacing w:val="-15"/>
          <w:sz w:val="19"/>
        </w:rPr>
        <w:t> </w:t>
      </w:r>
      <w:r>
        <w:rPr>
          <w:sz w:val="19"/>
        </w:rPr>
        <w:t>101.</w:t>
      </w:r>
    </w:p>
    <w:p>
      <w:pPr>
        <w:spacing w:before="27"/>
        <w:ind w:left="636" w:right="0" w:firstLine="0"/>
        <w:jc w:val="left"/>
        <w:rPr>
          <w:i/>
          <w:sz w:val="19"/>
        </w:rPr>
      </w:pPr>
      <w:r>
        <w:rPr>
          <w:i/>
          <w:sz w:val="19"/>
        </w:rPr>
        <w:t>Соответствие проверяют осмотром и измерением.</w:t>
      </w:r>
    </w:p>
    <w:p>
      <w:pPr>
        <w:pStyle w:val="ListParagraph"/>
        <w:numPr>
          <w:ilvl w:val="1"/>
          <w:numId w:val="7"/>
        </w:numPr>
        <w:tabs>
          <w:tab w:pos="1405" w:val="left" w:leader="none"/>
        </w:tabs>
        <w:spacing w:line="256" w:lineRule="auto" w:before="15" w:after="0"/>
        <w:ind w:left="114" w:right="107" w:firstLine="522"/>
        <w:jc w:val="left"/>
        <w:rPr>
          <w:sz w:val="19"/>
        </w:rPr>
      </w:pPr>
      <w:r>
        <w:rPr>
          <w:sz w:val="19"/>
        </w:rPr>
        <w:t>Ножи должны быть закреплены в барабане таким образом, чтобы они удерживались от вылета не только</w:t>
      </w:r>
      <w:r>
        <w:rPr>
          <w:spacing w:val="-13"/>
          <w:sz w:val="19"/>
        </w:rPr>
        <w:t> </w:t>
      </w:r>
      <w:r>
        <w:rPr>
          <w:sz w:val="19"/>
        </w:rPr>
        <w:t>трением.</w:t>
      </w:r>
    </w:p>
    <w:p>
      <w:pPr>
        <w:spacing w:before="0"/>
        <w:ind w:left="636" w:right="0" w:firstLine="0"/>
        <w:jc w:val="left"/>
        <w:rPr>
          <w:i/>
          <w:sz w:val="19"/>
        </w:rPr>
      </w:pPr>
      <w:r>
        <w:rPr>
          <w:i/>
          <w:sz w:val="19"/>
        </w:rPr>
        <w:t>Соответствие проверяют осмотром.</w:t>
      </w:r>
    </w:p>
    <w:p>
      <w:pPr>
        <w:pStyle w:val="ListParagraph"/>
        <w:numPr>
          <w:ilvl w:val="1"/>
          <w:numId w:val="7"/>
        </w:numPr>
        <w:tabs>
          <w:tab w:pos="1411" w:val="left" w:leader="none"/>
        </w:tabs>
        <w:spacing w:line="256" w:lineRule="auto" w:before="15" w:after="0"/>
        <w:ind w:left="114" w:right="163" w:firstLine="522"/>
        <w:jc w:val="left"/>
        <w:rPr>
          <w:sz w:val="19"/>
        </w:rPr>
      </w:pPr>
      <w:r>
        <w:rPr>
          <w:sz w:val="19"/>
        </w:rPr>
        <w:t>Конструкция и материалы, из которых изготовлен барабан, должны обеспечивать  стой­ кость</w:t>
      </w:r>
      <w:r>
        <w:rPr>
          <w:spacing w:val="-5"/>
          <w:sz w:val="19"/>
        </w:rPr>
        <w:t> </w:t>
      </w:r>
      <w:r>
        <w:rPr>
          <w:sz w:val="19"/>
        </w:rPr>
        <w:t>к</w:t>
      </w:r>
      <w:r>
        <w:rPr>
          <w:spacing w:val="-5"/>
          <w:sz w:val="19"/>
        </w:rPr>
        <w:t> </w:t>
      </w:r>
      <w:r>
        <w:rPr>
          <w:sz w:val="19"/>
        </w:rPr>
        <w:t>усилиям</w:t>
      </w:r>
      <w:r>
        <w:rPr>
          <w:spacing w:val="-5"/>
          <w:sz w:val="19"/>
        </w:rPr>
        <w:t> </w:t>
      </w:r>
      <w:r>
        <w:rPr>
          <w:sz w:val="19"/>
        </w:rPr>
        <w:t>и</w:t>
      </w:r>
      <w:r>
        <w:rPr>
          <w:spacing w:val="-5"/>
          <w:sz w:val="19"/>
        </w:rPr>
        <w:t> </w:t>
      </w:r>
      <w:r>
        <w:rPr>
          <w:sz w:val="19"/>
        </w:rPr>
        <w:t>нагрузкам,</w:t>
      </w:r>
      <w:r>
        <w:rPr>
          <w:spacing w:val="-6"/>
          <w:sz w:val="19"/>
        </w:rPr>
        <w:t> </w:t>
      </w:r>
      <w:r>
        <w:rPr>
          <w:sz w:val="19"/>
        </w:rPr>
        <w:t>ожидаемым</w:t>
      </w:r>
      <w:r>
        <w:rPr>
          <w:spacing w:val="-6"/>
          <w:sz w:val="19"/>
        </w:rPr>
        <w:t> </w:t>
      </w:r>
      <w:r>
        <w:rPr>
          <w:sz w:val="19"/>
        </w:rPr>
        <w:t>при</w:t>
      </w:r>
      <w:r>
        <w:rPr>
          <w:spacing w:val="-5"/>
          <w:sz w:val="19"/>
        </w:rPr>
        <w:t> </w:t>
      </w:r>
      <w:r>
        <w:rPr>
          <w:sz w:val="19"/>
        </w:rPr>
        <w:t>нормальной</w:t>
      </w:r>
      <w:r>
        <w:rPr>
          <w:spacing w:val="-6"/>
          <w:sz w:val="19"/>
        </w:rPr>
        <w:t> </w:t>
      </w:r>
      <w:r>
        <w:rPr>
          <w:sz w:val="19"/>
        </w:rPr>
        <w:t>эксплуатации.</w:t>
      </w:r>
    </w:p>
    <w:p>
      <w:pPr>
        <w:spacing w:before="0"/>
        <w:ind w:left="636" w:right="0" w:firstLine="0"/>
        <w:jc w:val="left"/>
        <w:rPr>
          <w:i/>
          <w:sz w:val="19"/>
        </w:rPr>
      </w:pPr>
      <w:r>
        <w:rPr>
          <w:i/>
          <w:sz w:val="19"/>
        </w:rPr>
        <w:t>Соответствие проверяют </w:t>
      </w:r>
      <w:r>
        <w:rPr>
          <w:sz w:val="19"/>
        </w:rPr>
        <w:t>следующим </w:t>
      </w:r>
      <w:r>
        <w:rPr>
          <w:i/>
          <w:sz w:val="19"/>
        </w:rPr>
        <w:t>испытанием:</w:t>
      </w:r>
    </w:p>
    <w:p>
      <w:pPr>
        <w:spacing w:line="252" w:lineRule="auto" w:before="33"/>
        <w:ind w:left="113" w:right="254" w:firstLine="513"/>
        <w:jc w:val="left"/>
        <w:rPr>
          <w:i/>
          <w:sz w:val="19"/>
        </w:rPr>
      </w:pPr>
      <w:r>
        <w:rPr>
          <w:i/>
          <w:sz w:val="19"/>
        </w:rPr>
        <w:t>Испытание проводят на образце фрезы, оснащенного ножами, применение которых обеспечи­ </w:t>
      </w:r>
      <w:r>
        <w:rPr>
          <w:i/>
          <w:sz w:val="19"/>
        </w:rPr>
        <w:t>вает максимальную глубину строгания и имеют максимальную ширину режущей кромки. Испыта­ тельная </w:t>
      </w:r>
      <w:r>
        <w:rPr>
          <w:sz w:val="19"/>
        </w:rPr>
        <w:t>частота </w:t>
      </w:r>
      <w:r>
        <w:rPr>
          <w:i/>
          <w:sz w:val="19"/>
        </w:rPr>
        <w:t>вращения должна в 1.5 раза превышать частоту вращения холостого хода. При </w:t>
      </w:r>
      <w:r>
        <w:rPr>
          <w:i/>
          <w:sz w:val="19"/>
        </w:rPr>
        <w:t>необходимости затягивают элементы, создающие крепления ножа, такие, как прижимные винты no8.12.2b).</w:t>
      </w:r>
    </w:p>
    <w:p>
      <w:pPr>
        <w:spacing w:line="256" w:lineRule="auto" w:before="4"/>
        <w:ind w:left="113" w:right="111" w:firstLine="513"/>
        <w:jc w:val="both"/>
        <w:rPr>
          <w:i/>
          <w:sz w:val="19"/>
        </w:rPr>
      </w:pPr>
      <w:r>
        <w:rPr>
          <w:i/>
          <w:sz w:val="19"/>
        </w:rPr>
        <w:t>После испытания фреза не </w:t>
      </w:r>
      <w:r>
        <w:rPr>
          <w:sz w:val="19"/>
        </w:rPr>
        <w:t>должна иметь </w:t>
      </w:r>
      <w:r>
        <w:rPr>
          <w:i/>
          <w:sz w:val="19"/>
        </w:rPr>
        <w:t>деформации, трещин, винты не должны быть </w:t>
      </w:r>
      <w:r>
        <w:rPr>
          <w:i/>
          <w:sz w:val="19"/>
        </w:rPr>
        <w:t>ослаблены, при этом смещения съемных частей </w:t>
      </w:r>
      <w:r>
        <w:rPr>
          <w:sz w:val="19"/>
        </w:rPr>
        <w:t>должны </w:t>
      </w:r>
      <w:r>
        <w:rPr>
          <w:i/>
          <w:sz w:val="19"/>
        </w:rPr>
        <w:t>быть не более оговоренных в </w:t>
      </w:r>
      <w:r>
        <w:rPr>
          <w:sz w:val="19"/>
        </w:rPr>
        <w:t>методике </w:t>
      </w:r>
      <w:r>
        <w:rPr>
          <w:i/>
          <w:sz w:val="19"/>
        </w:rPr>
        <w:t>испытания.</w:t>
      </w:r>
    </w:p>
    <w:p>
      <w:pPr>
        <w:spacing w:before="0"/>
        <w:ind w:left="627" w:right="0" w:firstLine="0"/>
        <w:jc w:val="left"/>
        <w:rPr>
          <w:i/>
          <w:sz w:val="19"/>
        </w:rPr>
      </w:pPr>
      <w:r>
        <w:rPr>
          <w:i/>
          <w:sz w:val="19"/>
        </w:rPr>
        <w:t>Методика испытания:</w:t>
      </w:r>
    </w:p>
    <w:p>
      <w:pPr>
        <w:pStyle w:val="ListParagraph"/>
        <w:numPr>
          <w:ilvl w:val="0"/>
          <w:numId w:val="8"/>
        </w:numPr>
        <w:tabs>
          <w:tab w:pos="924" w:val="left" w:leader="none"/>
        </w:tabs>
        <w:spacing w:line="240" w:lineRule="auto" w:before="15" w:after="0"/>
        <w:ind w:left="114" w:right="0" w:firstLine="540"/>
        <w:jc w:val="left"/>
        <w:rPr>
          <w:i/>
          <w:sz w:val="19"/>
        </w:rPr>
      </w:pPr>
      <w:r>
        <w:rPr>
          <w:i/>
          <w:sz w:val="19"/>
        </w:rPr>
        <w:t>Измерить размеры</w:t>
      </w:r>
      <w:r>
        <w:rPr>
          <w:i/>
          <w:spacing w:val="-21"/>
          <w:sz w:val="19"/>
        </w:rPr>
        <w:t> </w:t>
      </w:r>
      <w:r>
        <w:rPr>
          <w:i/>
          <w:sz w:val="19"/>
        </w:rPr>
        <w:t>фрезы.</w:t>
      </w:r>
    </w:p>
    <w:p>
      <w:pPr>
        <w:pStyle w:val="ListParagraph"/>
        <w:numPr>
          <w:ilvl w:val="0"/>
          <w:numId w:val="8"/>
        </w:numPr>
        <w:tabs>
          <w:tab w:pos="925" w:val="left" w:leader="none"/>
        </w:tabs>
        <w:spacing w:line="240" w:lineRule="auto" w:before="33" w:after="0"/>
        <w:ind w:left="924" w:right="0" w:hanging="288"/>
        <w:jc w:val="left"/>
        <w:rPr>
          <w:i/>
          <w:sz w:val="19"/>
        </w:rPr>
      </w:pPr>
      <w:r>
        <w:rPr>
          <w:i/>
          <w:sz w:val="19"/>
        </w:rPr>
        <w:t>В течении 1минувеличитьчастоту вращения фрезы дономинальнойчастоты на</w:t>
      </w:r>
      <w:r>
        <w:rPr>
          <w:i/>
          <w:spacing w:val="-13"/>
          <w:sz w:val="19"/>
        </w:rPr>
        <w:t> </w:t>
      </w:r>
      <w:r>
        <w:rPr>
          <w:i/>
          <w:sz w:val="19"/>
        </w:rPr>
        <w:t>холостом</w:t>
      </w:r>
    </w:p>
    <w:p>
      <w:pPr>
        <w:spacing w:line="216" w:lineRule="exact" w:before="0"/>
        <w:ind w:left="114" w:right="0" w:firstLine="0"/>
        <w:jc w:val="left"/>
        <w:rPr>
          <w:i/>
          <w:sz w:val="19"/>
        </w:rPr>
      </w:pPr>
      <w:r>
        <w:rPr>
          <w:i/>
          <w:sz w:val="19"/>
        </w:rPr>
        <w:t>ходу.</w:t>
      </w:r>
    </w:p>
    <w:p>
      <w:pPr>
        <w:pStyle w:val="ListParagraph"/>
        <w:numPr>
          <w:ilvl w:val="0"/>
          <w:numId w:val="8"/>
        </w:numPr>
        <w:tabs>
          <w:tab w:pos="954" w:val="left" w:leader="none"/>
        </w:tabs>
        <w:spacing w:line="240" w:lineRule="auto" w:before="33" w:after="0"/>
        <w:ind w:left="953" w:right="0" w:hanging="326"/>
        <w:jc w:val="left"/>
        <w:rPr>
          <w:i/>
          <w:sz w:val="19"/>
        </w:rPr>
      </w:pPr>
      <w:r>
        <w:rPr>
          <w:i/>
          <w:sz w:val="19"/>
        </w:rPr>
        <w:t>Остановить  фрезу и снова  измерить  </w:t>
      </w:r>
      <w:r>
        <w:rPr>
          <w:sz w:val="19"/>
        </w:rPr>
        <w:t>ее  </w:t>
      </w:r>
      <w:r>
        <w:rPr>
          <w:i/>
          <w:sz w:val="19"/>
        </w:rPr>
        <w:t>размеры,  при этом измеренные смещения</w:t>
      </w:r>
      <w:r>
        <w:rPr>
          <w:i/>
          <w:spacing w:val="26"/>
          <w:sz w:val="19"/>
        </w:rPr>
        <w:t> </w:t>
      </w:r>
      <w:r>
        <w:rPr>
          <w:i/>
          <w:sz w:val="19"/>
        </w:rPr>
        <w:t>съемных</w:t>
      </w:r>
    </w:p>
    <w:p>
      <w:pPr>
        <w:spacing w:line="215" w:lineRule="exact" w:before="0"/>
        <w:ind w:left="113" w:right="0" w:firstLine="0"/>
        <w:jc w:val="left"/>
        <w:rPr>
          <w:i/>
          <w:sz w:val="19"/>
        </w:rPr>
      </w:pPr>
      <w:r>
        <w:rPr>
          <w:i/>
          <w:sz w:val="19"/>
        </w:rPr>
        <w:t>частей не должны превышать 0,15 мм.</w:t>
      </w:r>
    </w:p>
    <w:p>
      <w:pPr>
        <w:pStyle w:val="ListParagraph"/>
        <w:numPr>
          <w:ilvl w:val="0"/>
          <w:numId w:val="8"/>
        </w:numPr>
        <w:tabs>
          <w:tab w:pos="962" w:val="left" w:leader="none"/>
        </w:tabs>
        <w:spacing w:line="256" w:lineRule="auto" w:before="33" w:after="0"/>
        <w:ind w:left="114" w:right="160" w:firstLine="513"/>
        <w:jc w:val="both"/>
        <w:rPr>
          <w:i/>
          <w:sz w:val="19"/>
        </w:rPr>
      </w:pPr>
      <w:r>
        <w:rPr>
          <w:i/>
          <w:sz w:val="19"/>
        </w:rPr>
        <w:t>В  </w:t>
      </w:r>
      <w:r>
        <w:rPr>
          <w:sz w:val="19"/>
        </w:rPr>
        <w:t>течении </w:t>
      </w:r>
      <w:r>
        <w:rPr>
          <w:i/>
          <w:sz w:val="19"/>
        </w:rPr>
        <w:t>1 мин увеличить частоту вращения фрезы до испытательную частоту враще­  </w:t>
      </w:r>
      <w:r>
        <w:rPr>
          <w:i/>
          <w:sz w:val="19"/>
        </w:rPr>
        <w:t>ния (п.</w:t>
      </w:r>
      <w:r>
        <w:rPr>
          <w:i/>
          <w:spacing w:val="-4"/>
          <w:sz w:val="19"/>
        </w:rPr>
        <w:t> </w:t>
      </w:r>
      <w:r>
        <w:rPr>
          <w:i/>
          <w:sz w:val="19"/>
        </w:rPr>
        <w:t>19.105).</w:t>
      </w:r>
    </w:p>
    <w:p>
      <w:pPr>
        <w:pStyle w:val="ListParagraph"/>
        <w:numPr>
          <w:ilvl w:val="0"/>
          <w:numId w:val="8"/>
        </w:numPr>
        <w:tabs>
          <w:tab w:pos="971" w:val="left" w:leader="none"/>
        </w:tabs>
        <w:spacing w:line="256" w:lineRule="auto" w:before="0" w:after="0"/>
        <w:ind w:left="114" w:right="107" w:firstLine="522"/>
        <w:jc w:val="both"/>
        <w:rPr>
          <w:i/>
          <w:sz w:val="19"/>
        </w:rPr>
      </w:pPr>
      <w:r>
        <w:rPr>
          <w:i/>
          <w:sz w:val="19"/>
        </w:rPr>
        <w:t>Остановить фрезу, снова измерить ее размеры и сравнить результаты с результатами </w:t>
      </w:r>
      <w:r>
        <w:rPr>
          <w:i/>
          <w:sz w:val="19"/>
        </w:rPr>
        <w:t>полученными по 3 этапу. Результаты не должны отличаться более чем на</w:t>
      </w:r>
      <w:r>
        <w:rPr>
          <w:i/>
          <w:spacing w:val="-27"/>
          <w:sz w:val="19"/>
        </w:rPr>
        <w:t> </w:t>
      </w:r>
      <w:r>
        <w:rPr>
          <w:i/>
          <w:sz w:val="19"/>
        </w:rPr>
        <w:t>0.15мм.</w:t>
      </w:r>
    </w:p>
    <w:p>
      <w:pPr>
        <w:pStyle w:val="ListParagraph"/>
        <w:numPr>
          <w:ilvl w:val="1"/>
          <w:numId w:val="7"/>
        </w:numPr>
        <w:tabs>
          <w:tab w:pos="1356" w:val="left" w:leader="none"/>
        </w:tabs>
        <w:spacing w:line="240" w:lineRule="auto" w:before="0" w:after="0"/>
        <w:ind w:left="1355" w:right="0" w:hanging="719"/>
        <w:jc w:val="left"/>
        <w:rPr>
          <w:sz w:val="19"/>
        </w:rPr>
      </w:pPr>
      <w:r>
        <w:rPr>
          <w:sz w:val="19"/>
        </w:rPr>
        <w:t>Прижимные винты или болты не должны выступать за барабан (см. рисунок</w:t>
      </w:r>
      <w:r>
        <w:rPr>
          <w:spacing w:val="-31"/>
          <w:sz w:val="19"/>
        </w:rPr>
        <w:t> </w:t>
      </w:r>
      <w:r>
        <w:rPr>
          <w:sz w:val="19"/>
        </w:rPr>
        <w:t>101).</w:t>
      </w:r>
    </w:p>
    <w:p>
      <w:pPr>
        <w:spacing w:before="15"/>
        <w:ind w:left="636" w:right="0" w:firstLine="0"/>
        <w:jc w:val="left"/>
        <w:rPr>
          <w:i/>
          <w:sz w:val="19"/>
        </w:rPr>
      </w:pPr>
      <w:r>
        <w:rPr>
          <w:i/>
          <w:sz w:val="19"/>
        </w:rPr>
        <w:t>Соответствие проверяют осмотром.</w:t>
      </w:r>
    </w:p>
    <w:p>
      <w:pPr>
        <w:pStyle w:val="ListParagraph"/>
        <w:numPr>
          <w:ilvl w:val="1"/>
          <w:numId w:val="7"/>
        </w:numPr>
        <w:tabs>
          <w:tab w:pos="1397" w:val="left" w:leader="none"/>
        </w:tabs>
        <w:spacing w:line="256" w:lineRule="auto" w:before="15" w:after="0"/>
        <w:ind w:left="114" w:right="125" w:firstLine="522"/>
        <w:jc w:val="both"/>
        <w:rPr>
          <w:sz w:val="19"/>
        </w:rPr>
      </w:pPr>
      <w:r>
        <w:rPr>
          <w:sz w:val="19"/>
        </w:rPr>
        <w:t>Не допускается возможности случайного прикосновения к вращающимся частям рубанка,    за исключением конструкций по</w:t>
      </w:r>
      <w:r>
        <w:rPr>
          <w:spacing w:val="-3"/>
          <w:sz w:val="19"/>
        </w:rPr>
        <w:t> </w:t>
      </w:r>
      <w:r>
        <w:rPr>
          <w:sz w:val="19"/>
        </w:rPr>
        <w:t>19.108.</w:t>
      </w:r>
    </w:p>
    <w:p>
      <w:pPr>
        <w:spacing w:before="18"/>
        <w:ind w:left="636" w:right="0" w:firstLine="0"/>
        <w:jc w:val="left"/>
        <w:rPr>
          <w:i/>
          <w:sz w:val="19"/>
        </w:rPr>
      </w:pPr>
      <w:r>
        <w:rPr>
          <w:i/>
          <w:sz w:val="19"/>
        </w:rPr>
        <w:t>Соответствие проверяют следующим испытанием:</w:t>
      </w:r>
    </w:p>
    <w:p>
      <w:pPr>
        <w:spacing w:line="247" w:lineRule="auto" w:before="15"/>
        <w:ind w:left="114" w:right="105" w:firstLine="513"/>
        <w:jc w:val="both"/>
        <w:rPr>
          <w:i/>
          <w:sz w:val="19"/>
        </w:rPr>
      </w:pPr>
      <w:r>
        <w:rPr>
          <w:i/>
          <w:sz w:val="19"/>
        </w:rPr>
        <w:t>Рубанок настраивают на минимальную глубину рвза и устанавливают основанием на плоскую </w:t>
      </w:r>
      <w:r>
        <w:rPr>
          <w:i/>
          <w:sz w:val="19"/>
        </w:rPr>
        <w:t>поверхность, например столе, </w:t>
      </w:r>
      <w:r>
        <w:rPr>
          <w:sz w:val="19"/>
        </w:rPr>
        <w:t>размером, </w:t>
      </w:r>
      <w:r>
        <w:rPr>
          <w:i/>
          <w:sz w:val="19"/>
        </w:rPr>
        <w:t>превышающим размеры рубанка не менее чем на 100 мм во </w:t>
      </w:r>
      <w:r>
        <w:rPr>
          <w:i/>
          <w:sz w:val="19"/>
        </w:rPr>
        <w:t>всех направлениях. Функция любого предохранительного устройства должна быть отключена.</w:t>
      </w:r>
    </w:p>
    <w:p>
      <w:pPr>
        <w:spacing w:after="0" w:line="247" w:lineRule="auto"/>
        <w:jc w:val="both"/>
        <w:rPr>
          <w:sz w:val="19"/>
        </w:rPr>
        <w:sectPr>
          <w:pgSz w:w="11900" w:h="16840"/>
          <w:pgMar w:header="520" w:footer="515" w:top="720" w:bottom="720" w:left="1300" w:right="740"/>
        </w:sectPr>
      </w:pPr>
    </w:p>
    <w:p>
      <w:pPr>
        <w:pStyle w:val="BodyText"/>
        <w:rPr>
          <w:i/>
          <w:sz w:val="20"/>
        </w:rPr>
      </w:pPr>
    </w:p>
    <w:p>
      <w:pPr>
        <w:pStyle w:val="BodyText"/>
        <w:spacing w:before="4"/>
        <w:rPr>
          <w:i/>
          <w:sz w:val="20"/>
        </w:rPr>
      </w:pPr>
    </w:p>
    <w:p>
      <w:pPr>
        <w:pStyle w:val="BodyText"/>
        <w:ind w:right="119"/>
        <w:jc w:val="right"/>
      </w:pPr>
      <w:r>
        <w:rPr/>
        <w:t>ГОСТ 1ЕС 62841 *2*14—2016</w:t>
      </w:r>
    </w:p>
    <w:p>
      <w:pPr>
        <w:pStyle w:val="BodyText"/>
        <w:spacing w:before="8"/>
        <w:rPr>
          <w:sz w:val="24"/>
        </w:rPr>
      </w:pPr>
    </w:p>
    <w:p>
      <w:pPr>
        <w:spacing w:line="256" w:lineRule="auto" w:before="1"/>
        <w:ind w:left="127" w:right="173" w:hanging="18"/>
        <w:jc w:val="left"/>
        <w:rPr>
          <w:i/>
          <w:sz w:val="19"/>
        </w:rPr>
      </w:pPr>
      <w:r>
        <w:rPr>
          <w:i/>
          <w:sz w:val="19"/>
        </w:rPr>
        <w:t>Доступность вращающихся частей проверяют прикладывая щуп.  показанного  на  рисунке  102,  с  </w:t>
      </w:r>
      <w:r>
        <w:rPr>
          <w:i/>
          <w:sz w:val="19"/>
        </w:rPr>
        <w:t>силой не более 5</w:t>
      </w:r>
      <w:r>
        <w:rPr>
          <w:i/>
          <w:spacing w:val="-4"/>
          <w:sz w:val="19"/>
        </w:rPr>
        <w:t> </w:t>
      </w:r>
      <w:r>
        <w:rPr>
          <w:i/>
          <w:sz w:val="19"/>
        </w:rPr>
        <w:t>Н.</w:t>
      </w:r>
    </w:p>
    <w:p>
      <w:pPr>
        <w:pStyle w:val="ListParagraph"/>
        <w:numPr>
          <w:ilvl w:val="1"/>
          <w:numId w:val="7"/>
        </w:numPr>
        <w:tabs>
          <w:tab w:pos="1440" w:val="left" w:leader="none"/>
          <w:tab w:pos="1441" w:val="left" w:leader="none"/>
        </w:tabs>
        <w:spacing w:line="256" w:lineRule="auto" w:before="0" w:after="0"/>
        <w:ind w:left="127" w:right="124" w:firstLine="530"/>
        <w:jc w:val="left"/>
        <w:rPr>
          <w:sz w:val="19"/>
        </w:rPr>
      </w:pPr>
      <w:r>
        <w:rPr>
          <w:sz w:val="19"/>
        </w:rPr>
        <w:t>Рубанки с конструкцией, допускающей функцию шпунтования, допжны иметь защитный кожух, не допускающий случайного соприкосновения с боковой поверхностью</w:t>
      </w:r>
      <w:r>
        <w:rPr>
          <w:spacing w:val="-13"/>
          <w:sz w:val="19"/>
        </w:rPr>
        <w:t> </w:t>
      </w:r>
      <w:r>
        <w:rPr>
          <w:sz w:val="19"/>
        </w:rPr>
        <w:t>фрезы.</w:t>
      </w:r>
    </w:p>
    <w:p>
      <w:pPr>
        <w:spacing w:before="126"/>
        <w:ind w:left="640" w:right="0" w:firstLine="0"/>
        <w:jc w:val="left"/>
        <w:rPr>
          <w:sz w:val="17"/>
        </w:rPr>
      </w:pPr>
      <w:r>
        <w:rPr>
          <w:sz w:val="17"/>
        </w:rPr>
        <w:t>П р и м е ч а н и е  — Шпунтование так же известно как выборки четверти (фальца).</w:t>
      </w:r>
    </w:p>
    <w:p>
      <w:pPr>
        <w:pStyle w:val="BodyText"/>
        <w:spacing w:before="8"/>
        <w:rPr>
          <w:sz w:val="15"/>
        </w:rPr>
      </w:pPr>
    </w:p>
    <w:p>
      <w:pPr>
        <w:spacing w:before="0"/>
        <w:ind w:left="649" w:right="0" w:firstLine="0"/>
        <w:jc w:val="left"/>
        <w:rPr>
          <w:i/>
          <w:sz w:val="19"/>
        </w:rPr>
      </w:pPr>
      <w:r>
        <w:rPr>
          <w:i/>
          <w:sz w:val="19"/>
        </w:rPr>
        <w:t>Соответствие проееряют осмотром и следующим испытанием:</w:t>
      </w:r>
    </w:p>
    <w:p>
      <w:pPr>
        <w:spacing w:line="252" w:lineRule="auto" w:before="15"/>
        <w:ind w:left="126" w:right="173" w:firstLine="513"/>
        <w:jc w:val="left"/>
        <w:rPr>
          <w:i/>
          <w:sz w:val="19"/>
        </w:rPr>
      </w:pPr>
      <w:r>
        <w:rPr>
          <w:i/>
          <w:sz w:val="19"/>
        </w:rPr>
        <w:t>Рубанок настраиеают на минимальную глубину строгания и устанавлиеают опорой на плоскую </w:t>
      </w:r>
      <w:r>
        <w:rPr>
          <w:i/>
          <w:sz w:val="19"/>
        </w:rPr>
        <w:t>поверхность размером, превышающим размеры рубанка не менее чем на 100 мм ео всех направлениях. Функция любого предохранительного устройства должна быть отключена. Доступность вращаю­ щихся частей проееряют прикладывая щуп. </w:t>
      </w:r>
      <w:r>
        <w:rPr>
          <w:sz w:val="19"/>
        </w:rPr>
        <w:t>показанный </w:t>
      </w:r>
      <w:r>
        <w:rPr>
          <w:i/>
          <w:sz w:val="19"/>
        </w:rPr>
        <w:t>на рисунке 102. без приложения какого-либо </w:t>
      </w:r>
      <w:r>
        <w:rPr>
          <w:i/>
          <w:sz w:val="19"/>
        </w:rPr>
        <w:t>усилия.</w:t>
      </w:r>
    </w:p>
    <w:p>
      <w:pPr>
        <w:pStyle w:val="ListParagraph"/>
        <w:numPr>
          <w:ilvl w:val="1"/>
          <w:numId w:val="7"/>
        </w:numPr>
        <w:tabs>
          <w:tab w:pos="1472" w:val="left" w:leader="none"/>
          <w:tab w:pos="1474" w:val="left" w:leader="none"/>
        </w:tabs>
        <w:spacing w:line="237" w:lineRule="auto" w:before="7" w:after="0"/>
        <w:ind w:left="118" w:right="124" w:firstLine="531"/>
        <w:jc w:val="left"/>
        <w:rPr>
          <w:sz w:val="19"/>
        </w:rPr>
      </w:pPr>
      <w:r>
        <w:rPr>
          <w:sz w:val="19"/>
        </w:rPr>
        <w:t>Не допускается возможности прикосновения к ножам через отверстие для  выброса  стружки.</w:t>
      </w:r>
    </w:p>
    <w:p>
      <w:pPr>
        <w:spacing w:line="256" w:lineRule="auto" w:before="15"/>
        <w:ind w:left="126" w:right="121" w:firstLine="522"/>
        <w:jc w:val="both"/>
        <w:rPr>
          <w:i/>
          <w:sz w:val="19"/>
        </w:rPr>
      </w:pPr>
      <w:r>
        <w:rPr>
          <w:i/>
          <w:sz w:val="19"/>
        </w:rPr>
        <w:t>Соответствие проверяют путем проверки всех </w:t>
      </w:r>
      <w:r>
        <w:rPr>
          <w:sz w:val="19"/>
        </w:rPr>
        <w:t>отверстий </w:t>
      </w:r>
      <w:r>
        <w:rPr>
          <w:i/>
          <w:sz w:val="19"/>
        </w:rPr>
        <w:t>для </w:t>
      </w:r>
      <w:r>
        <w:rPr>
          <w:sz w:val="19"/>
        </w:rPr>
        <w:t>выброса </w:t>
      </w:r>
      <w:r>
        <w:rPr>
          <w:i/>
          <w:sz w:val="19"/>
        </w:rPr>
        <w:t>стружки испыта­ </w:t>
      </w:r>
      <w:r>
        <w:rPr>
          <w:i/>
          <w:sz w:val="19"/>
        </w:rPr>
        <w:t>тельным щупом по рисунку 102. При </w:t>
      </w:r>
      <w:r>
        <w:rPr>
          <w:sz w:val="19"/>
        </w:rPr>
        <w:t>любом </w:t>
      </w:r>
      <w:r>
        <w:rPr>
          <w:i/>
          <w:sz w:val="19"/>
        </w:rPr>
        <w:t>угле наклона испытательного щупа не должно быть </w:t>
      </w:r>
      <w:r>
        <w:rPr>
          <w:i/>
          <w:sz w:val="19"/>
        </w:rPr>
        <w:t>возможности касания установленных в барабане ножей.</w:t>
      </w:r>
    </w:p>
    <w:p>
      <w:pPr>
        <w:pStyle w:val="ListParagraph"/>
        <w:numPr>
          <w:ilvl w:val="1"/>
          <w:numId w:val="7"/>
        </w:numPr>
        <w:tabs>
          <w:tab w:pos="1379" w:val="left" w:leader="none"/>
        </w:tabs>
        <w:spacing w:line="240" w:lineRule="auto" w:before="0" w:after="0"/>
        <w:ind w:left="1378" w:right="0" w:hanging="729"/>
        <w:jc w:val="left"/>
        <w:rPr>
          <w:sz w:val="19"/>
        </w:rPr>
      </w:pPr>
      <w:r>
        <w:rPr>
          <w:sz w:val="19"/>
        </w:rPr>
        <w:t>Время</w:t>
      </w:r>
      <w:r>
        <w:rPr>
          <w:spacing w:val="-5"/>
          <w:sz w:val="19"/>
        </w:rPr>
        <w:t> </w:t>
      </w:r>
      <w:r>
        <w:rPr>
          <w:sz w:val="19"/>
        </w:rPr>
        <w:t>остановки</w:t>
      </w:r>
      <w:r>
        <w:rPr>
          <w:spacing w:val="-6"/>
          <w:sz w:val="19"/>
        </w:rPr>
        <w:t> </w:t>
      </w:r>
      <w:r>
        <w:rPr>
          <w:sz w:val="19"/>
        </w:rPr>
        <w:t>рубанка</w:t>
      </w:r>
      <w:r>
        <w:rPr>
          <w:spacing w:val="-6"/>
          <w:sz w:val="19"/>
        </w:rPr>
        <w:t> </w:t>
      </w:r>
      <w:r>
        <w:rPr>
          <w:sz w:val="19"/>
        </w:rPr>
        <w:t>после</w:t>
      </w:r>
      <w:r>
        <w:rPr>
          <w:spacing w:val="-5"/>
          <w:sz w:val="19"/>
        </w:rPr>
        <w:t> </w:t>
      </w:r>
      <w:r>
        <w:rPr>
          <w:sz w:val="19"/>
        </w:rPr>
        <w:t>отключения</w:t>
      </w:r>
      <w:r>
        <w:rPr>
          <w:spacing w:val="-6"/>
          <w:sz w:val="19"/>
        </w:rPr>
        <w:t> </w:t>
      </w:r>
      <w:r>
        <w:rPr>
          <w:sz w:val="19"/>
        </w:rPr>
        <w:t>литания</w:t>
      </w:r>
      <w:r>
        <w:rPr>
          <w:spacing w:val="-6"/>
          <w:sz w:val="19"/>
        </w:rPr>
        <w:t> </w:t>
      </w:r>
      <w:r>
        <w:rPr>
          <w:sz w:val="19"/>
        </w:rPr>
        <w:t>не</w:t>
      </w:r>
      <w:r>
        <w:rPr>
          <w:spacing w:val="-6"/>
          <w:sz w:val="19"/>
        </w:rPr>
        <w:t> </w:t>
      </w:r>
      <w:r>
        <w:rPr>
          <w:sz w:val="19"/>
        </w:rPr>
        <w:t>должно</w:t>
      </w:r>
      <w:r>
        <w:rPr>
          <w:spacing w:val="-6"/>
          <w:sz w:val="19"/>
        </w:rPr>
        <w:t> </w:t>
      </w:r>
      <w:r>
        <w:rPr>
          <w:sz w:val="19"/>
        </w:rPr>
        <w:t>превышать</w:t>
      </w:r>
      <w:r>
        <w:rPr>
          <w:spacing w:val="-5"/>
          <w:sz w:val="19"/>
        </w:rPr>
        <w:t> </w:t>
      </w:r>
      <w:r>
        <w:rPr>
          <w:sz w:val="19"/>
        </w:rPr>
        <w:t>Юс.</w:t>
      </w:r>
    </w:p>
    <w:p>
      <w:pPr>
        <w:spacing w:before="15"/>
        <w:ind w:left="649" w:right="0" w:firstLine="0"/>
        <w:jc w:val="left"/>
        <w:rPr>
          <w:i/>
          <w:sz w:val="19"/>
        </w:rPr>
      </w:pPr>
      <w:r>
        <w:rPr>
          <w:i/>
          <w:sz w:val="19"/>
        </w:rPr>
        <w:t>Соответствие проверяют осмотром и измерением.</w:t>
      </w:r>
    </w:p>
    <w:p>
      <w:pPr>
        <w:pStyle w:val="ListParagraph"/>
        <w:numPr>
          <w:ilvl w:val="1"/>
          <w:numId w:val="7"/>
        </w:numPr>
        <w:tabs>
          <w:tab w:pos="1379" w:val="left" w:leader="none"/>
        </w:tabs>
        <w:spacing w:line="240" w:lineRule="auto" w:before="15" w:after="0"/>
        <w:ind w:left="1378" w:right="0" w:hanging="729"/>
        <w:jc w:val="left"/>
        <w:rPr>
          <w:sz w:val="19"/>
        </w:rPr>
      </w:pPr>
      <w:r>
        <w:rPr>
          <w:sz w:val="19"/>
        </w:rPr>
        <w:t>Предохранительное устройство.</w:t>
      </w:r>
    </w:p>
    <w:p>
      <w:pPr>
        <w:pStyle w:val="ListParagraph"/>
        <w:numPr>
          <w:ilvl w:val="2"/>
          <w:numId w:val="7"/>
        </w:numPr>
        <w:tabs>
          <w:tab w:pos="1589" w:val="left" w:leader="none"/>
        </w:tabs>
        <w:spacing w:line="247" w:lineRule="auto" w:before="15" w:after="0"/>
        <w:ind w:left="118" w:right="117" w:firstLine="531"/>
        <w:jc w:val="both"/>
        <w:rPr>
          <w:sz w:val="19"/>
        </w:rPr>
      </w:pPr>
      <w:r>
        <w:rPr>
          <w:sz w:val="19"/>
        </w:rPr>
        <w:t>Если предохранительное устройство обеспечивает соответствие требованиям 18.8 или 21.18.1.1, то оно должно выдерживать испытания 19.111.2 и 19.111.3. проводимые после завершения испытания на надежность по</w:t>
      </w:r>
      <w:r>
        <w:rPr>
          <w:spacing w:val="-13"/>
          <w:sz w:val="19"/>
        </w:rPr>
        <w:t> </w:t>
      </w:r>
      <w:r>
        <w:rPr>
          <w:sz w:val="19"/>
        </w:rPr>
        <w:t>17.101.</w:t>
      </w:r>
    </w:p>
    <w:p>
      <w:pPr>
        <w:pStyle w:val="ListParagraph"/>
        <w:numPr>
          <w:ilvl w:val="2"/>
          <w:numId w:val="7"/>
        </w:numPr>
        <w:tabs>
          <w:tab w:pos="1540" w:val="left" w:leader="none"/>
        </w:tabs>
        <w:spacing w:line="240" w:lineRule="auto" w:before="9" w:after="0"/>
        <w:ind w:left="1539" w:right="0" w:hanging="882"/>
        <w:jc w:val="left"/>
        <w:rPr>
          <w:sz w:val="19"/>
        </w:rPr>
      </w:pPr>
      <w:r>
        <w:rPr>
          <w:sz w:val="19"/>
        </w:rPr>
        <w:t>Конструкция предохранительного устройства должна</w:t>
      </w:r>
      <w:r>
        <w:rPr>
          <w:spacing w:val="-19"/>
          <w:sz w:val="19"/>
        </w:rPr>
        <w:t> </w:t>
      </w:r>
      <w:r>
        <w:rPr>
          <w:sz w:val="19"/>
        </w:rPr>
        <w:t>обеспечивать:</w:t>
      </w:r>
    </w:p>
    <w:p>
      <w:pPr>
        <w:pStyle w:val="ListParagraph"/>
        <w:numPr>
          <w:ilvl w:val="0"/>
          <w:numId w:val="3"/>
        </w:numPr>
        <w:tabs>
          <w:tab w:pos="820" w:val="left" w:leader="none"/>
        </w:tabs>
        <w:spacing w:line="240" w:lineRule="auto" w:before="15" w:after="0"/>
        <w:ind w:left="820" w:right="0" w:hanging="171"/>
        <w:jc w:val="left"/>
        <w:rPr>
          <w:sz w:val="19"/>
        </w:rPr>
      </w:pPr>
      <w:r>
        <w:rPr>
          <w:sz w:val="19"/>
        </w:rPr>
        <w:t>его автоматическое срабатывание при подъеме рубанка с горизонтальной поверхности</w:t>
      </w:r>
      <w:r>
        <w:rPr>
          <w:spacing w:val="-24"/>
          <w:sz w:val="19"/>
        </w:rPr>
        <w:t> </w:t>
      </w:r>
      <w:r>
        <w:rPr>
          <w:sz w:val="19"/>
        </w:rPr>
        <w:t>и:</w:t>
      </w:r>
    </w:p>
    <w:p>
      <w:pPr>
        <w:pStyle w:val="ListParagraph"/>
        <w:numPr>
          <w:ilvl w:val="0"/>
          <w:numId w:val="3"/>
        </w:numPr>
        <w:tabs>
          <w:tab w:pos="894" w:val="left" w:leader="none"/>
        </w:tabs>
        <w:spacing w:line="256" w:lineRule="auto" w:before="15" w:after="0"/>
        <w:ind w:left="136" w:right="166" w:firstLine="504"/>
        <w:jc w:val="left"/>
        <w:rPr>
          <w:sz w:val="19"/>
        </w:rPr>
      </w:pPr>
      <w:r>
        <w:rPr>
          <w:sz w:val="19"/>
        </w:rPr>
        <w:t>защиту от прикосновения ножей, настроенных на максимальную глубину строгания в соот­ ветствии с 8.14.2 Ь) 101). с горизонтальной</w:t>
      </w:r>
      <w:r>
        <w:rPr>
          <w:spacing w:val="-11"/>
          <w:sz w:val="19"/>
        </w:rPr>
        <w:t> </w:t>
      </w:r>
      <w:r>
        <w:rPr>
          <w:sz w:val="19"/>
        </w:rPr>
        <w:t>поверхностью.</w:t>
      </w:r>
    </w:p>
    <w:p>
      <w:pPr>
        <w:spacing w:before="0"/>
        <w:ind w:left="649" w:right="0" w:firstLine="0"/>
        <w:jc w:val="left"/>
        <w:rPr>
          <w:i/>
          <w:sz w:val="19"/>
        </w:rPr>
      </w:pPr>
      <w:r>
        <w:rPr>
          <w:sz w:val="19"/>
        </w:rPr>
        <w:t>Соответствие </w:t>
      </w:r>
      <w:r>
        <w:rPr>
          <w:i/>
          <w:sz w:val="19"/>
        </w:rPr>
        <w:t>проверяют осмотром.</w:t>
      </w:r>
    </w:p>
    <w:p>
      <w:pPr>
        <w:pStyle w:val="ListParagraph"/>
        <w:numPr>
          <w:ilvl w:val="2"/>
          <w:numId w:val="7"/>
        </w:numPr>
        <w:tabs>
          <w:tab w:pos="1540" w:val="left" w:leader="none"/>
        </w:tabs>
        <w:spacing w:line="240" w:lineRule="auto" w:before="15" w:after="0"/>
        <w:ind w:left="1539" w:right="0" w:hanging="890"/>
        <w:jc w:val="left"/>
        <w:rPr>
          <w:sz w:val="19"/>
        </w:rPr>
      </w:pPr>
      <w:r>
        <w:rPr>
          <w:sz w:val="19"/>
        </w:rPr>
        <w:t>Предохранительное устройство должно обеспечивать устойчивое положение</w:t>
      </w:r>
      <w:r>
        <w:rPr>
          <w:spacing w:val="-26"/>
          <w:sz w:val="19"/>
        </w:rPr>
        <w:t> </w:t>
      </w:r>
      <w:r>
        <w:rPr>
          <w:sz w:val="19"/>
        </w:rPr>
        <w:t>рубанка.</w:t>
      </w:r>
    </w:p>
    <w:p>
      <w:pPr>
        <w:spacing w:before="15"/>
        <w:ind w:left="649" w:right="0" w:firstLine="0"/>
        <w:jc w:val="left"/>
        <w:rPr>
          <w:i/>
          <w:sz w:val="19"/>
        </w:rPr>
      </w:pPr>
      <w:r>
        <w:rPr>
          <w:i/>
          <w:sz w:val="19"/>
        </w:rPr>
        <w:t>Соответствие проверяют следующим испытанием</w:t>
      </w:r>
    </w:p>
    <w:p>
      <w:pPr>
        <w:spacing w:line="252" w:lineRule="auto" w:before="15"/>
        <w:ind w:left="126" w:right="111" w:firstLine="513"/>
        <w:jc w:val="both"/>
        <w:rPr>
          <w:i/>
          <w:sz w:val="19"/>
        </w:rPr>
      </w:pPr>
      <w:r>
        <w:rPr>
          <w:i/>
          <w:sz w:val="19"/>
        </w:rPr>
        <w:t>Рубанок настраивают на максимальную глубину строгания в соответствии с 8.14.2 Ь) 101) и </w:t>
      </w:r>
      <w:r>
        <w:rPr>
          <w:i/>
          <w:sz w:val="19"/>
        </w:rPr>
        <w:t>удаляют шнур питания, если таковой предусмотрен конструкцией. Рубанок устанавливают на древесноволокнистую плиту, имеющую  </w:t>
      </w:r>
      <w:r>
        <w:rPr>
          <w:sz w:val="19"/>
        </w:rPr>
        <w:t>среднюю </w:t>
      </w:r>
      <w:r>
        <w:rPr>
          <w:i/>
          <w:sz w:val="19"/>
        </w:rPr>
        <w:t>плотность  от  650  кг/м</w:t>
      </w:r>
      <w:r>
        <w:rPr>
          <w:i/>
          <w:position w:val="5"/>
          <w:sz w:val="12"/>
        </w:rPr>
        <w:t>3  </w:t>
      </w:r>
      <w:r>
        <w:rPr>
          <w:i/>
          <w:sz w:val="19"/>
        </w:rPr>
        <w:t>до  850  кг/м</w:t>
      </w:r>
      <w:r>
        <w:rPr>
          <w:i/>
          <w:position w:val="5"/>
          <w:sz w:val="12"/>
        </w:rPr>
        <w:t>3  </w:t>
      </w:r>
      <w:r>
        <w:rPr>
          <w:i/>
          <w:sz w:val="19"/>
        </w:rPr>
        <w:t>и угол  накло­ </w:t>
      </w:r>
      <w:r>
        <w:rPr>
          <w:i/>
          <w:sz w:val="19"/>
        </w:rPr>
        <w:t>на 10*. так чтобы </w:t>
      </w:r>
      <w:r>
        <w:rPr>
          <w:sz w:val="19"/>
        </w:rPr>
        <w:t>неподвижная </w:t>
      </w:r>
      <w:r>
        <w:rPr>
          <w:i/>
          <w:sz w:val="19"/>
        </w:rPr>
        <w:t>подошва находилась на более высокой стороне плиты и оставалось в </w:t>
      </w:r>
      <w:r>
        <w:rPr>
          <w:i/>
          <w:sz w:val="19"/>
        </w:rPr>
        <w:t>состоянии покоя (10—12) с. Во время испытания допускается скольжение рубанка, при  этом устройство защиты при подъеме должно обеспечивать защиту от контакта ножей с плитой.</w:t>
      </w:r>
    </w:p>
    <w:p>
      <w:pPr>
        <w:pStyle w:val="BodyText"/>
        <w:spacing w:before="9"/>
        <w:rPr>
          <w:i/>
        </w:rPr>
      </w:pPr>
    </w:p>
    <w:p>
      <w:pPr>
        <w:pStyle w:val="Heading1"/>
        <w:numPr>
          <w:ilvl w:val="0"/>
          <w:numId w:val="7"/>
        </w:numPr>
        <w:tabs>
          <w:tab w:pos="1046" w:val="left" w:leader="none"/>
        </w:tabs>
        <w:spacing w:line="240" w:lineRule="auto" w:before="0" w:after="0"/>
        <w:ind w:left="1045" w:right="0" w:hanging="405"/>
        <w:jc w:val="left"/>
      </w:pPr>
      <w:bookmarkStart w:name="_bookmark19" w:id="28"/>
      <w:bookmarkEnd w:id="28"/>
      <w:r>
        <w:rPr>
          <w:b w:val="0"/>
        </w:rPr>
      </w:r>
      <w:bookmarkStart w:name="_bookmark19" w:id="29"/>
      <w:bookmarkEnd w:id="29"/>
      <w:r>
        <w:rPr/>
        <w:t>Механическа</w:t>
      </w:r>
      <w:r>
        <w:rPr/>
        <w:t>я</w:t>
      </w:r>
      <w:r>
        <w:rPr>
          <w:spacing w:val="-11"/>
        </w:rPr>
        <w:t> </w:t>
      </w:r>
      <w:r>
        <w:rPr/>
        <w:t>прочность</w:t>
      </w:r>
    </w:p>
    <w:p>
      <w:pPr>
        <w:pStyle w:val="BodyText"/>
        <w:spacing w:before="3"/>
        <w:rPr>
          <w:b/>
          <w:sz w:val="22"/>
        </w:rPr>
      </w:pPr>
    </w:p>
    <w:p>
      <w:pPr>
        <w:pStyle w:val="BodyText"/>
        <w:ind w:left="640"/>
      </w:pPr>
      <w:bookmarkStart w:name="_bookmark20" w:id="30"/>
      <w:bookmarkEnd w:id="30"/>
      <w:r>
        <w:rPr/>
      </w:r>
      <w:r>
        <w:rPr/>
        <w:t>Применяют соответствующий раздел IEC 62841-1.</w:t>
      </w:r>
    </w:p>
    <w:p>
      <w:pPr>
        <w:pStyle w:val="BodyText"/>
        <w:spacing w:before="8"/>
        <w:rPr>
          <w:sz w:val="20"/>
        </w:rPr>
      </w:pPr>
    </w:p>
    <w:p>
      <w:pPr>
        <w:pStyle w:val="Heading1"/>
        <w:numPr>
          <w:ilvl w:val="0"/>
          <w:numId w:val="7"/>
        </w:numPr>
        <w:tabs>
          <w:tab w:pos="1046" w:val="left" w:leader="none"/>
        </w:tabs>
        <w:spacing w:line="240" w:lineRule="auto" w:before="0" w:after="0"/>
        <w:ind w:left="1045" w:right="0" w:hanging="405"/>
        <w:jc w:val="left"/>
      </w:pPr>
      <w:r>
        <w:rPr/>
        <w:t>Конструкция</w:t>
      </w:r>
    </w:p>
    <w:p>
      <w:pPr>
        <w:pStyle w:val="BodyText"/>
        <w:spacing w:before="8"/>
        <w:rPr>
          <w:b/>
          <w:sz w:val="20"/>
        </w:rPr>
      </w:pPr>
    </w:p>
    <w:p>
      <w:pPr>
        <w:pStyle w:val="BodyText"/>
        <w:ind w:left="640"/>
      </w:pPr>
      <w:r>
        <w:rPr/>
        <w:t>Применяют соответствующий раздел IEC 62841-1 со следующими дополнениями:</w:t>
      </w:r>
    </w:p>
    <w:p>
      <w:pPr>
        <w:pStyle w:val="ListParagraph"/>
        <w:numPr>
          <w:ilvl w:val="3"/>
          <w:numId w:val="9"/>
        </w:numPr>
        <w:tabs>
          <w:tab w:pos="1586" w:val="left" w:leader="none"/>
        </w:tabs>
        <w:spacing w:line="240" w:lineRule="auto" w:before="15" w:after="0"/>
        <w:ind w:left="1585" w:right="0" w:hanging="945"/>
        <w:jc w:val="left"/>
        <w:rPr>
          <w:sz w:val="19"/>
        </w:rPr>
      </w:pPr>
      <w:r>
        <w:rPr>
          <w:sz w:val="19"/>
        </w:rPr>
        <w:t>Дополнение:</w:t>
      </w:r>
    </w:p>
    <w:p>
      <w:pPr>
        <w:pStyle w:val="BodyText"/>
        <w:spacing w:line="256" w:lineRule="auto" w:before="15"/>
        <w:ind w:left="136" w:right="116" w:firstLine="504"/>
        <w:jc w:val="both"/>
      </w:pPr>
      <w:r>
        <w:rPr/>
        <w:t>Рубанки, ножи которых вступают в контакт с плоской поверхностью, при установке  основания  рубанка на эту поверхность, и не оснащенные предохранительным устройством, рассматриваются как имеющие риск, возникающий при непрерывной</w:t>
      </w:r>
      <w:r>
        <w:rPr>
          <w:spacing w:val="-34"/>
        </w:rPr>
        <w:t> </w:t>
      </w:r>
      <w:r>
        <w:rPr/>
        <w:t>работе.</w:t>
      </w:r>
    </w:p>
    <w:p>
      <w:pPr>
        <w:pStyle w:val="ListParagraph"/>
        <w:numPr>
          <w:ilvl w:val="3"/>
          <w:numId w:val="9"/>
        </w:numPr>
        <w:tabs>
          <w:tab w:pos="1586" w:val="left" w:leader="none"/>
        </w:tabs>
        <w:spacing w:line="240" w:lineRule="auto" w:before="0" w:after="0"/>
        <w:ind w:left="1585" w:right="0" w:hanging="945"/>
        <w:jc w:val="left"/>
        <w:rPr>
          <w:sz w:val="19"/>
        </w:rPr>
      </w:pPr>
      <w:r>
        <w:rPr>
          <w:sz w:val="19"/>
        </w:rPr>
        <w:t>Дополнение:</w:t>
      </w:r>
    </w:p>
    <w:p>
      <w:pPr>
        <w:pStyle w:val="BodyText"/>
        <w:spacing w:line="256" w:lineRule="auto" w:before="15"/>
        <w:ind w:left="136" w:right="173" w:firstLine="504"/>
      </w:pPr>
      <w:r>
        <w:rPr/>
        <w:t>Рубанок рассматривается как машина,  имеющая  риск,  возникающий  при  непреднамеренном  пуске.</w:t>
      </w:r>
    </w:p>
    <w:p>
      <w:pPr>
        <w:pStyle w:val="BodyText"/>
        <w:ind w:left="640"/>
      </w:pPr>
      <w:bookmarkStart w:name="_bookmark21" w:id="31"/>
      <w:bookmarkEnd w:id="31"/>
      <w:r>
        <w:rPr/>
      </w:r>
      <w:r>
        <w:rPr/>
        <w:t>21.35 Этот пункт не применяется.</w:t>
      </w:r>
    </w:p>
    <w:p>
      <w:pPr>
        <w:pStyle w:val="BodyText"/>
        <w:spacing w:before="8"/>
        <w:rPr>
          <w:sz w:val="20"/>
        </w:rPr>
      </w:pPr>
    </w:p>
    <w:p>
      <w:pPr>
        <w:pStyle w:val="Heading1"/>
        <w:numPr>
          <w:ilvl w:val="0"/>
          <w:numId w:val="7"/>
        </w:numPr>
        <w:tabs>
          <w:tab w:pos="1046" w:val="left" w:leader="none"/>
        </w:tabs>
        <w:spacing w:line="240" w:lineRule="auto" w:before="0" w:after="0"/>
        <w:ind w:left="1045" w:right="0" w:hanging="405"/>
        <w:jc w:val="left"/>
      </w:pPr>
      <w:r>
        <w:rPr/>
        <w:t>Внутренняя</w:t>
      </w:r>
      <w:r>
        <w:rPr>
          <w:spacing w:val="-10"/>
        </w:rPr>
        <w:t> </w:t>
      </w:r>
      <w:r>
        <w:rPr/>
        <w:t>проводка</w:t>
      </w:r>
    </w:p>
    <w:p>
      <w:pPr>
        <w:pStyle w:val="BodyText"/>
        <w:spacing w:before="8"/>
        <w:rPr>
          <w:b/>
          <w:sz w:val="20"/>
        </w:rPr>
      </w:pPr>
    </w:p>
    <w:p>
      <w:pPr>
        <w:pStyle w:val="BodyText"/>
        <w:ind w:left="640"/>
      </w:pPr>
      <w:r>
        <w:rPr/>
        <w:t>Применяют соответствующий раздел IEC 62841-1.</w:t>
      </w:r>
    </w:p>
    <w:p>
      <w:pPr>
        <w:pStyle w:val="BodyText"/>
        <w:rPr>
          <w:sz w:val="20"/>
        </w:rPr>
      </w:pPr>
    </w:p>
    <w:p>
      <w:pPr>
        <w:pStyle w:val="BodyText"/>
        <w:spacing w:before="7"/>
        <w:rPr>
          <w:sz w:val="16"/>
        </w:rPr>
      </w:pPr>
    </w:p>
    <w:p>
      <w:pPr>
        <w:spacing w:before="0"/>
        <w:ind w:left="0" w:right="104" w:firstLine="0"/>
        <w:jc w:val="right"/>
        <w:rPr>
          <w:b/>
          <w:sz w:val="16"/>
        </w:rPr>
      </w:pPr>
      <w:r>
        <w:rPr>
          <w:b/>
          <w:sz w:val="16"/>
        </w:rPr>
        <w:t>S</w:t>
      </w:r>
    </w:p>
    <w:p>
      <w:pPr>
        <w:spacing w:after="0"/>
        <w:jc w:val="right"/>
        <w:rPr>
          <w:sz w:val="16"/>
        </w:rPr>
        <w:sectPr>
          <w:pgSz w:w="11900" w:h="16840"/>
          <w:pgMar w:header="520" w:footer="515" w:top="720" w:bottom="720" w:left="720" w:right="1300"/>
        </w:sectPr>
      </w:pPr>
    </w:p>
    <w:p>
      <w:pPr>
        <w:pStyle w:val="BodyText"/>
        <w:rPr>
          <w:b/>
          <w:sz w:val="20"/>
        </w:rPr>
      </w:pPr>
    </w:p>
    <w:p>
      <w:pPr>
        <w:pStyle w:val="BodyText"/>
        <w:spacing w:before="4"/>
        <w:rPr>
          <w:b/>
          <w:sz w:val="20"/>
        </w:rPr>
      </w:pPr>
    </w:p>
    <w:p>
      <w:pPr>
        <w:pStyle w:val="BodyText"/>
        <w:ind w:left="122"/>
      </w:pPr>
      <w:r>
        <w:rPr/>
        <w:t>ГОСТ IEC 62841-2.14—2016</w:t>
      </w:r>
    </w:p>
    <w:p>
      <w:pPr>
        <w:pStyle w:val="BodyText"/>
        <w:spacing w:before="9"/>
        <w:rPr>
          <w:sz w:val="23"/>
        </w:rPr>
      </w:pPr>
    </w:p>
    <w:p>
      <w:pPr>
        <w:pStyle w:val="Heading1"/>
        <w:numPr>
          <w:ilvl w:val="0"/>
          <w:numId w:val="7"/>
        </w:numPr>
        <w:tabs>
          <w:tab w:pos="1033" w:val="left" w:leader="none"/>
        </w:tabs>
        <w:spacing w:line="240" w:lineRule="auto" w:before="0" w:after="0"/>
        <w:ind w:left="1032" w:right="0" w:hanging="405"/>
        <w:jc w:val="left"/>
      </w:pPr>
      <w:bookmarkStart w:name="_bookmark22" w:id="32"/>
      <w:bookmarkEnd w:id="32"/>
      <w:r>
        <w:rPr>
          <w:b w:val="0"/>
        </w:rPr>
      </w:r>
      <w:bookmarkStart w:name="_bookmark22" w:id="33"/>
      <w:bookmarkEnd w:id="33"/>
      <w:r>
        <w:rPr/>
        <w:t>Комплектующи</w:t>
      </w:r>
      <w:r>
        <w:rPr/>
        <w:t>е</w:t>
      </w:r>
      <w:r>
        <w:rPr>
          <w:spacing w:val="-13"/>
        </w:rPr>
        <w:t> </w:t>
      </w:r>
      <w:r>
        <w:rPr/>
        <w:t>изделия</w:t>
      </w:r>
    </w:p>
    <w:p>
      <w:pPr>
        <w:pStyle w:val="BodyText"/>
        <w:spacing w:before="3"/>
        <w:rPr>
          <w:b/>
          <w:sz w:val="22"/>
        </w:rPr>
      </w:pPr>
    </w:p>
    <w:p>
      <w:pPr>
        <w:pStyle w:val="BodyText"/>
        <w:ind w:left="636"/>
      </w:pPr>
      <w:bookmarkStart w:name="_bookmark23" w:id="34"/>
      <w:bookmarkEnd w:id="34"/>
      <w:r>
        <w:rPr/>
      </w:r>
      <w:r>
        <w:rPr/>
        <w:t>Применяют соответствующий раздел IEC 62841.1.</w:t>
      </w:r>
    </w:p>
    <w:p>
      <w:pPr>
        <w:pStyle w:val="BodyText"/>
        <w:spacing w:before="3"/>
        <w:rPr>
          <w:sz w:val="22"/>
        </w:rPr>
      </w:pPr>
    </w:p>
    <w:p>
      <w:pPr>
        <w:pStyle w:val="Heading1"/>
        <w:numPr>
          <w:ilvl w:val="0"/>
          <w:numId w:val="7"/>
        </w:numPr>
        <w:tabs>
          <w:tab w:pos="1033" w:val="left" w:leader="none"/>
        </w:tabs>
        <w:spacing w:line="240" w:lineRule="auto" w:before="0" w:after="0"/>
        <w:ind w:left="1032" w:right="0" w:hanging="405"/>
        <w:jc w:val="left"/>
      </w:pPr>
      <w:r>
        <w:rPr/>
        <w:t>Присоединение к источнику питания и внешние гибкие</w:t>
      </w:r>
      <w:r>
        <w:rPr>
          <w:spacing w:val="-6"/>
        </w:rPr>
        <w:t> </w:t>
      </w:r>
      <w:r>
        <w:rPr/>
        <w:t>шнуры</w:t>
      </w:r>
    </w:p>
    <w:p>
      <w:pPr>
        <w:pStyle w:val="BodyText"/>
        <w:spacing w:before="8"/>
        <w:rPr>
          <w:b/>
          <w:sz w:val="20"/>
        </w:rPr>
      </w:pPr>
    </w:p>
    <w:p>
      <w:pPr>
        <w:pStyle w:val="BodyText"/>
        <w:ind w:left="636"/>
      </w:pPr>
      <w:bookmarkStart w:name="_bookmark24" w:id="35"/>
      <w:bookmarkEnd w:id="35"/>
      <w:r>
        <w:rPr/>
      </w:r>
      <w:r>
        <w:rPr/>
        <w:t>Применяют соответствующий раздел IEC 62841-1.</w:t>
      </w:r>
    </w:p>
    <w:p>
      <w:pPr>
        <w:pStyle w:val="BodyText"/>
        <w:spacing w:before="2"/>
        <w:rPr>
          <w:sz w:val="22"/>
        </w:rPr>
      </w:pPr>
    </w:p>
    <w:p>
      <w:pPr>
        <w:pStyle w:val="Heading1"/>
        <w:numPr>
          <w:ilvl w:val="0"/>
          <w:numId w:val="7"/>
        </w:numPr>
        <w:tabs>
          <w:tab w:pos="1023" w:val="left" w:leader="none"/>
        </w:tabs>
        <w:spacing w:line="240" w:lineRule="auto" w:before="1" w:after="0"/>
        <w:ind w:left="1023" w:right="0" w:hanging="396"/>
        <w:jc w:val="left"/>
      </w:pPr>
      <w:r>
        <w:rPr/>
        <w:t>Зажимы для внешних</w:t>
      </w:r>
      <w:r>
        <w:rPr>
          <w:spacing w:val="-6"/>
        </w:rPr>
        <w:t> </w:t>
      </w:r>
      <w:r>
        <w:rPr/>
        <w:t>проводов</w:t>
      </w:r>
    </w:p>
    <w:p>
      <w:pPr>
        <w:pStyle w:val="BodyText"/>
        <w:spacing w:before="8"/>
        <w:rPr>
          <w:b/>
          <w:sz w:val="20"/>
        </w:rPr>
      </w:pPr>
    </w:p>
    <w:p>
      <w:pPr>
        <w:pStyle w:val="BodyText"/>
        <w:spacing w:before="1"/>
        <w:ind w:left="636"/>
      </w:pPr>
      <w:bookmarkStart w:name="_bookmark25" w:id="36"/>
      <w:bookmarkEnd w:id="36"/>
      <w:r>
        <w:rPr/>
      </w:r>
      <w:r>
        <w:rPr/>
        <w:t>Применяют соответствующий раздел IEC 62841.1.</w:t>
      </w:r>
    </w:p>
    <w:p>
      <w:pPr>
        <w:pStyle w:val="BodyText"/>
        <w:spacing w:before="3"/>
        <w:rPr>
          <w:sz w:val="22"/>
        </w:rPr>
      </w:pPr>
    </w:p>
    <w:p>
      <w:pPr>
        <w:pStyle w:val="Heading1"/>
        <w:numPr>
          <w:ilvl w:val="0"/>
          <w:numId w:val="7"/>
        </w:numPr>
        <w:tabs>
          <w:tab w:pos="1023" w:val="left" w:leader="none"/>
        </w:tabs>
        <w:spacing w:line="240" w:lineRule="auto" w:before="0" w:after="0"/>
        <w:ind w:left="1023" w:right="0" w:hanging="396"/>
        <w:jc w:val="left"/>
      </w:pPr>
      <w:r>
        <w:rPr/>
        <w:t>Заземление</w:t>
      </w:r>
    </w:p>
    <w:p>
      <w:pPr>
        <w:pStyle w:val="BodyText"/>
        <w:spacing w:before="8"/>
        <w:rPr>
          <w:b/>
          <w:sz w:val="20"/>
        </w:rPr>
      </w:pPr>
    </w:p>
    <w:p>
      <w:pPr>
        <w:pStyle w:val="BodyText"/>
        <w:ind w:left="636"/>
      </w:pPr>
      <w:r>
        <w:rPr/>
        <w:t>Применяют соответствующий раздел IEC 62841*1.</w:t>
      </w:r>
    </w:p>
    <w:p>
      <w:pPr>
        <w:pStyle w:val="BodyText"/>
        <w:spacing w:before="3"/>
        <w:rPr>
          <w:sz w:val="22"/>
        </w:rPr>
      </w:pPr>
    </w:p>
    <w:p>
      <w:pPr>
        <w:pStyle w:val="Heading1"/>
        <w:numPr>
          <w:ilvl w:val="0"/>
          <w:numId w:val="7"/>
        </w:numPr>
        <w:tabs>
          <w:tab w:pos="1033" w:val="left" w:leader="none"/>
        </w:tabs>
        <w:spacing w:line="240" w:lineRule="auto" w:before="0" w:after="0"/>
        <w:ind w:left="1032" w:right="0" w:hanging="405"/>
        <w:jc w:val="left"/>
      </w:pPr>
      <w:bookmarkStart w:name="_bookmark26" w:id="37"/>
      <w:bookmarkEnd w:id="37"/>
      <w:r>
        <w:rPr>
          <w:b w:val="0"/>
        </w:rPr>
      </w:r>
      <w:bookmarkStart w:name="_bookmark26" w:id="38"/>
      <w:bookmarkEnd w:id="38"/>
      <w:r>
        <w:rPr/>
        <w:t>Винт</w:t>
      </w:r>
      <w:r>
        <w:rPr/>
        <w:t>ы и</w:t>
      </w:r>
      <w:r>
        <w:rPr>
          <w:spacing w:val="-15"/>
        </w:rPr>
        <w:t> </w:t>
      </w:r>
      <w:r>
        <w:rPr/>
        <w:t>соединения</w:t>
      </w:r>
    </w:p>
    <w:p>
      <w:pPr>
        <w:pStyle w:val="BodyText"/>
        <w:spacing w:before="8"/>
        <w:rPr>
          <w:b/>
          <w:sz w:val="20"/>
        </w:rPr>
      </w:pPr>
    </w:p>
    <w:p>
      <w:pPr>
        <w:pStyle w:val="BodyText"/>
        <w:ind w:left="636"/>
      </w:pPr>
      <w:bookmarkStart w:name="_bookmark27" w:id="39"/>
      <w:bookmarkEnd w:id="39"/>
      <w:r>
        <w:rPr/>
      </w:r>
      <w:r>
        <w:rPr/>
        <w:t>Применяют соответствующий раздел IEC 62841-1.</w:t>
      </w:r>
    </w:p>
    <w:p>
      <w:pPr>
        <w:pStyle w:val="BodyText"/>
        <w:spacing w:before="3"/>
        <w:rPr>
          <w:sz w:val="22"/>
        </w:rPr>
      </w:pPr>
    </w:p>
    <w:p>
      <w:pPr>
        <w:pStyle w:val="Heading1"/>
        <w:numPr>
          <w:ilvl w:val="0"/>
          <w:numId w:val="7"/>
        </w:numPr>
        <w:tabs>
          <w:tab w:pos="1033" w:val="left" w:leader="none"/>
        </w:tabs>
        <w:spacing w:line="240" w:lineRule="auto" w:before="0" w:after="0"/>
        <w:ind w:left="1032" w:right="0" w:hanging="405"/>
        <w:jc w:val="left"/>
      </w:pPr>
      <w:r>
        <w:rPr/>
        <w:t>Пути утечки тока, воздушные зазоры и расстояние по</w:t>
      </w:r>
      <w:r>
        <w:rPr>
          <w:spacing w:val="-11"/>
        </w:rPr>
        <w:t> </w:t>
      </w:r>
      <w:r>
        <w:rPr/>
        <w:t>изоляции</w:t>
      </w:r>
    </w:p>
    <w:p>
      <w:pPr>
        <w:pStyle w:val="BodyText"/>
        <w:spacing w:before="3"/>
        <w:rPr>
          <w:b/>
          <w:sz w:val="22"/>
        </w:rPr>
      </w:pPr>
    </w:p>
    <w:p>
      <w:pPr>
        <w:pStyle w:val="BodyText"/>
        <w:spacing w:before="1"/>
        <w:ind w:left="636"/>
      </w:pPr>
      <w:r>
        <w:rPr/>
        <w:t>Применяют соответствующий раздел IEC 62841*1..</w:t>
      </w:r>
    </w:p>
    <w:p>
      <w:pPr>
        <w:pStyle w:val="BodyText"/>
        <w:rPr>
          <w:sz w:val="20"/>
        </w:rPr>
      </w:pPr>
    </w:p>
    <w:p>
      <w:pPr>
        <w:pStyle w:val="BodyText"/>
        <w:spacing w:before="7"/>
        <w:rPr>
          <w:sz w:val="23"/>
        </w:rPr>
      </w:pPr>
    </w:p>
    <w:p>
      <w:pPr>
        <w:spacing w:before="1"/>
        <w:ind w:left="692" w:right="400" w:firstLine="0"/>
        <w:jc w:val="center"/>
        <w:rPr>
          <w:b/>
          <w:sz w:val="15"/>
        </w:rPr>
      </w:pPr>
      <w:r>
        <w:rPr>
          <w:sz w:val="17"/>
        </w:rPr>
        <w:t>Пример </w:t>
      </w:r>
      <w:r>
        <w:rPr>
          <w:b/>
          <w:sz w:val="15"/>
        </w:rPr>
        <w:t>1</w:t>
      </w:r>
    </w:p>
    <w:p>
      <w:pPr>
        <w:pStyle w:val="BodyText"/>
        <w:spacing w:before="5"/>
        <w:rPr>
          <w:b/>
          <w:sz w:val="11"/>
        </w:rPr>
      </w:pPr>
      <w:r>
        <w:rPr/>
        <w:drawing>
          <wp:anchor distT="0" distB="0" distL="0" distR="0" allowOverlap="1" layoutInCell="1" locked="0" behindDoc="0" simplePos="0" relativeHeight="1048">
            <wp:simplePos x="0" y="0"/>
            <wp:positionH relativeFrom="page">
              <wp:posOffset>1017905</wp:posOffset>
            </wp:positionH>
            <wp:positionV relativeFrom="paragraph">
              <wp:posOffset>108620</wp:posOffset>
            </wp:positionV>
            <wp:extent cx="5800725" cy="330898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5800725" cy="3308985"/>
                    </a:xfrm>
                    <a:prstGeom prst="rect">
                      <a:avLst/>
                    </a:prstGeom>
                  </pic:spPr>
                </pic:pic>
              </a:graphicData>
            </a:graphic>
          </wp:anchor>
        </w:drawing>
      </w:r>
    </w:p>
    <w:p>
      <w:pPr>
        <w:pStyle w:val="BodyText"/>
        <w:rPr>
          <w:b/>
          <w:sz w:val="18"/>
        </w:rPr>
      </w:pPr>
    </w:p>
    <w:p>
      <w:pPr>
        <w:pStyle w:val="BodyText"/>
        <w:rPr>
          <w:b/>
          <w:sz w:val="15"/>
        </w:rPr>
      </w:pPr>
    </w:p>
    <w:p>
      <w:pPr>
        <w:spacing w:line="336" w:lineRule="auto" w:before="0"/>
        <w:ind w:left="692" w:right="500" w:firstLine="0"/>
        <w:jc w:val="center"/>
        <w:rPr>
          <w:sz w:val="14"/>
        </w:rPr>
      </w:pPr>
      <w:r>
        <w:rPr>
          <w:i/>
          <w:sz w:val="14"/>
        </w:rPr>
        <w:t>1 </w:t>
      </w:r>
      <w:r>
        <w:rPr>
          <w:sz w:val="14"/>
        </w:rPr>
        <w:t>— неподвижная опора; ? — регулируемая опора. 3 — задняя кромка регулируемой части, а — расстояние, на которое высту­ пают иожи за барабан о радиальном направлении. 6 — расстояние между окружностью вращающейся фрезы и регулируемой опорой, tf — диаметр круга, образованного вращающейся фрезой. 5 — ширина паза</w:t>
      </w:r>
    </w:p>
    <w:p>
      <w:pPr>
        <w:pStyle w:val="BodyText"/>
        <w:spacing w:before="7"/>
        <w:rPr>
          <w:sz w:val="15"/>
        </w:rPr>
      </w:pPr>
    </w:p>
    <w:p>
      <w:pPr>
        <w:spacing w:before="0"/>
        <w:ind w:left="692" w:right="478" w:firstLine="0"/>
        <w:jc w:val="center"/>
        <w:rPr>
          <w:sz w:val="17"/>
        </w:rPr>
      </w:pPr>
      <w:r>
        <w:rPr>
          <w:sz w:val="17"/>
        </w:rPr>
        <w:t>Рисунок 101 — Примеры фрез с пояснением основных размеров</w:t>
      </w:r>
    </w:p>
    <w:p>
      <w:pPr>
        <w:pStyle w:val="BodyText"/>
        <w:rPr>
          <w:sz w:val="18"/>
        </w:rPr>
      </w:pPr>
    </w:p>
    <w:p>
      <w:pPr>
        <w:spacing w:before="146"/>
        <w:ind w:left="114" w:right="0" w:firstLine="0"/>
        <w:jc w:val="left"/>
        <w:rPr>
          <w:b/>
          <w:sz w:val="16"/>
        </w:rPr>
      </w:pPr>
      <w:r>
        <w:rPr>
          <w:b/>
          <w:sz w:val="16"/>
        </w:rPr>
        <w:t>6</w:t>
      </w:r>
    </w:p>
    <w:p>
      <w:pPr>
        <w:spacing w:after="0"/>
        <w:jc w:val="left"/>
        <w:rPr>
          <w:sz w:val="16"/>
        </w:rPr>
        <w:sectPr>
          <w:pgSz w:w="11900" w:h="16840"/>
          <w:pgMar w:header="520" w:footer="515" w:top="720" w:bottom="720" w:left="1300" w:right="1060"/>
        </w:sectPr>
      </w:pPr>
    </w:p>
    <w:p>
      <w:pPr>
        <w:pStyle w:val="BodyText"/>
        <w:rPr>
          <w:b/>
          <w:sz w:val="20"/>
        </w:rPr>
      </w:pPr>
    </w:p>
    <w:p>
      <w:pPr>
        <w:pStyle w:val="BodyText"/>
        <w:spacing w:before="5"/>
        <w:rPr>
          <w:b/>
          <w:sz w:val="20"/>
        </w:rPr>
      </w:pPr>
    </w:p>
    <w:p>
      <w:pPr>
        <w:pStyle w:val="BodyText"/>
        <w:ind w:right="184"/>
        <w:jc w:val="right"/>
      </w:pPr>
      <w:r>
        <w:rPr/>
        <w:t>ГОСТ 1ЕС 62941-2.14—2016</w:t>
      </w:r>
    </w:p>
    <w:p>
      <w:pPr>
        <w:pStyle w:val="BodyText"/>
        <w:spacing w:before="7"/>
        <w:rPr>
          <w:sz w:val="16"/>
        </w:rPr>
      </w:pPr>
    </w:p>
    <w:p>
      <w:pPr>
        <w:spacing w:before="94"/>
        <w:ind w:left="3149" w:right="3435" w:firstLine="0"/>
        <w:jc w:val="center"/>
        <w:rPr>
          <w:sz w:val="17"/>
        </w:rPr>
      </w:pPr>
      <w:r>
        <w:rPr>
          <w:sz w:val="17"/>
        </w:rPr>
        <w:t>Пример 2</w:t>
      </w:r>
    </w:p>
    <w:p>
      <w:pPr>
        <w:pStyle w:val="BodyText"/>
        <w:spacing w:before="1"/>
        <w:rPr>
          <w:sz w:val="23"/>
        </w:rPr>
      </w:pPr>
      <w:r>
        <w:rPr/>
        <w:drawing>
          <wp:anchor distT="0" distB="0" distL="0" distR="0" allowOverlap="1" layoutInCell="1" locked="0" behindDoc="0" simplePos="0" relativeHeight="1072">
            <wp:simplePos x="0" y="0"/>
            <wp:positionH relativeFrom="page">
              <wp:posOffset>709294</wp:posOffset>
            </wp:positionH>
            <wp:positionV relativeFrom="paragraph">
              <wp:posOffset>193848</wp:posOffset>
            </wp:positionV>
            <wp:extent cx="5789295" cy="2754629"/>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5789295" cy="2754629"/>
                    </a:xfrm>
                    <a:prstGeom prst="rect">
                      <a:avLst/>
                    </a:prstGeom>
                  </pic:spPr>
                </pic:pic>
              </a:graphicData>
            </a:graphic>
          </wp:anchor>
        </w:drawing>
      </w:r>
    </w:p>
    <w:p>
      <w:pPr>
        <w:pStyle w:val="BodyText"/>
        <w:rPr>
          <w:sz w:val="18"/>
        </w:rPr>
      </w:pPr>
    </w:p>
    <w:p>
      <w:pPr>
        <w:pStyle w:val="BodyText"/>
        <w:spacing w:before="9"/>
        <w:rPr>
          <w:sz w:val="18"/>
        </w:rPr>
      </w:pPr>
    </w:p>
    <w:p>
      <w:pPr>
        <w:spacing w:before="0"/>
        <w:ind w:left="3149" w:right="3437" w:firstLine="0"/>
        <w:jc w:val="center"/>
        <w:rPr>
          <w:sz w:val="17"/>
        </w:rPr>
      </w:pPr>
      <w:r>
        <w:rPr>
          <w:sz w:val="17"/>
        </w:rPr>
        <w:t>Рисунок 101 — Лист 2</w:t>
      </w:r>
    </w:p>
    <w:p>
      <w:pPr>
        <w:pStyle w:val="BodyText"/>
        <w:rPr>
          <w:sz w:val="20"/>
        </w:rPr>
      </w:pPr>
    </w:p>
    <w:p>
      <w:pPr>
        <w:pStyle w:val="BodyText"/>
        <w:rPr>
          <w:sz w:val="20"/>
        </w:rPr>
      </w:pPr>
    </w:p>
    <w:p>
      <w:pPr>
        <w:pStyle w:val="BodyText"/>
        <w:spacing w:before="8"/>
        <w:rPr>
          <w:sz w:val="27"/>
        </w:rPr>
      </w:pPr>
      <w:r>
        <w:rPr/>
        <w:drawing>
          <wp:anchor distT="0" distB="0" distL="0" distR="0" allowOverlap="1" layoutInCell="1" locked="0" behindDoc="0" simplePos="0" relativeHeight="1096">
            <wp:simplePos x="0" y="0"/>
            <wp:positionH relativeFrom="page">
              <wp:posOffset>1903729</wp:posOffset>
            </wp:positionH>
            <wp:positionV relativeFrom="paragraph">
              <wp:posOffset>227607</wp:posOffset>
            </wp:positionV>
            <wp:extent cx="3246120" cy="1371600"/>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3246120" cy="1371600"/>
                    </a:xfrm>
                    <a:prstGeom prst="rect">
                      <a:avLst/>
                    </a:prstGeom>
                  </pic:spPr>
                </pic:pic>
              </a:graphicData>
            </a:graphic>
          </wp:anchor>
        </w:drawing>
      </w:r>
    </w:p>
    <w:p>
      <w:pPr>
        <w:pStyle w:val="BodyText"/>
        <w:rPr>
          <w:sz w:val="18"/>
        </w:rPr>
      </w:pPr>
    </w:p>
    <w:p>
      <w:pPr>
        <w:spacing w:before="109"/>
        <w:ind w:left="2079" w:right="0" w:firstLine="0"/>
        <w:jc w:val="left"/>
        <w:rPr>
          <w:sz w:val="14"/>
        </w:rPr>
      </w:pPr>
      <w:r>
        <w:rPr>
          <w:sz w:val="14"/>
        </w:rPr>
        <w:t>Г — участок рукоятки; 2 — испытательный участок, </w:t>
      </w:r>
      <w:r>
        <w:rPr>
          <w:i/>
          <w:sz w:val="14"/>
        </w:rPr>
        <w:t>3 </w:t>
      </w:r>
      <w:r>
        <w:rPr>
          <w:sz w:val="14"/>
        </w:rPr>
        <w:t>— фланец щупа</w:t>
      </w:r>
    </w:p>
    <w:p>
      <w:pPr>
        <w:pStyle w:val="BodyText"/>
        <w:spacing w:before="7"/>
        <w:rPr>
          <w:sz w:val="22"/>
        </w:rPr>
      </w:pPr>
    </w:p>
    <w:p>
      <w:pPr>
        <w:spacing w:before="0"/>
        <w:ind w:left="396" w:right="0" w:firstLine="0"/>
        <w:jc w:val="left"/>
        <w:rPr>
          <w:sz w:val="17"/>
        </w:rPr>
      </w:pPr>
      <w:r>
        <w:rPr>
          <w:sz w:val="17"/>
        </w:rPr>
        <w:t>П р и м е ч а н и е  — Приведенные размеры даны е миллиметрах {мм).</w:t>
      </w:r>
    </w:p>
    <w:p>
      <w:pPr>
        <w:pStyle w:val="BodyText"/>
        <w:spacing w:before="1"/>
        <w:rPr>
          <w:sz w:val="22"/>
        </w:rPr>
      </w:pPr>
    </w:p>
    <w:p>
      <w:pPr>
        <w:spacing w:before="0"/>
        <w:ind w:left="3149" w:right="3524" w:firstLine="0"/>
        <w:jc w:val="center"/>
        <w:rPr>
          <w:sz w:val="17"/>
        </w:rPr>
      </w:pPr>
      <w:r>
        <w:rPr>
          <w:sz w:val="17"/>
        </w:rPr>
        <w:t>Рисунок 102 — Испытательный щуп</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before="0"/>
        <w:ind w:left="0" w:right="102" w:firstLine="0"/>
        <w:jc w:val="right"/>
        <w:rPr>
          <w:b/>
          <w:sz w:val="16"/>
        </w:rPr>
      </w:pPr>
      <w:r>
        <w:rPr>
          <w:b/>
          <w:sz w:val="16"/>
        </w:rPr>
        <w:t>7</w:t>
      </w:r>
    </w:p>
    <w:p>
      <w:pPr>
        <w:spacing w:after="0"/>
        <w:jc w:val="right"/>
        <w:rPr>
          <w:sz w:val="16"/>
        </w:rPr>
        <w:sectPr>
          <w:pgSz w:w="11900" w:h="16840"/>
          <w:pgMar w:header="520" w:footer="515" w:top="720" w:bottom="720" w:left="1000" w:right="1320"/>
        </w:sectPr>
      </w:pPr>
    </w:p>
    <w:p>
      <w:pPr>
        <w:pStyle w:val="BodyText"/>
        <w:rPr>
          <w:b/>
          <w:sz w:val="20"/>
        </w:rPr>
      </w:pPr>
    </w:p>
    <w:p>
      <w:pPr>
        <w:pStyle w:val="BodyText"/>
        <w:spacing w:before="5"/>
        <w:rPr>
          <w:b/>
          <w:sz w:val="20"/>
        </w:rPr>
      </w:pPr>
    </w:p>
    <w:p>
      <w:pPr>
        <w:pStyle w:val="BodyText"/>
        <w:ind w:left="122"/>
      </w:pPr>
      <w:r>
        <w:rPr/>
        <w:t>ГОСТ IEC 62841-2.14—2016</w:t>
      </w:r>
    </w:p>
    <w:p>
      <w:pPr>
        <w:pStyle w:val="BodyText"/>
        <w:spacing w:before="7"/>
        <w:rPr>
          <w:sz w:val="16"/>
        </w:rPr>
      </w:pPr>
    </w:p>
    <w:p>
      <w:pPr>
        <w:pStyle w:val="BodyText"/>
        <w:spacing w:before="94"/>
        <w:ind w:left="4316" w:right="4335"/>
        <w:jc w:val="center"/>
      </w:pPr>
      <w:r>
        <w:rPr/>
        <w:t>Приложения</w:t>
      </w:r>
    </w:p>
    <w:p>
      <w:pPr>
        <w:pStyle w:val="BodyText"/>
        <w:spacing w:before="3"/>
        <w:rPr>
          <w:sz w:val="23"/>
        </w:rPr>
      </w:pPr>
    </w:p>
    <w:p>
      <w:pPr>
        <w:pStyle w:val="BodyText"/>
        <w:ind w:left="636"/>
      </w:pPr>
      <w:r>
        <w:rPr/>
        <w:t>Применяют соответствующий раздел IEC 62841-1 со следующими изменениями.</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p>
      <w:pPr>
        <w:spacing w:line="264" w:lineRule="auto" w:before="0"/>
        <w:ind w:left="4249" w:right="4335" w:firstLine="0"/>
        <w:jc w:val="center"/>
        <w:rPr>
          <w:sz w:val="17"/>
        </w:rPr>
      </w:pPr>
      <w:r>
        <w:rPr>
          <w:sz w:val="17"/>
        </w:rPr>
        <w:t>Приложение 1</w:t>
      </w:r>
      <w:r>
        <w:rPr>
          <w:w w:val="99"/>
          <w:sz w:val="17"/>
        </w:rPr>
        <w:t> </w:t>
      </w:r>
      <w:r>
        <w:rPr>
          <w:sz w:val="17"/>
        </w:rPr>
        <w:t>(справочное)</w:t>
      </w:r>
    </w:p>
    <w:p>
      <w:pPr>
        <w:pStyle w:val="BodyText"/>
        <w:rPr>
          <w:sz w:val="18"/>
        </w:rPr>
      </w:pPr>
    </w:p>
    <w:p>
      <w:pPr>
        <w:pStyle w:val="BodyText"/>
        <w:rPr>
          <w:sz w:val="18"/>
        </w:rPr>
      </w:pPr>
    </w:p>
    <w:p>
      <w:pPr>
        <w:pStyle w:val="BodyText"/>
        <w:rPr>
          <w:sz w:val="25"/>
        </w:rPr>
      </w:pPr>
    </w:p>
    <w:p>
      <w:pPr>
        <w:pStyle w:val="BodyText"/>
        <w:ind w:left="3479" w:right="3776"/>
        <w:jc w:val="center"/>
      </w:pPr>
      <w:r>
        <w:rPr/>
        <w:t>Измерение шума и вибрации</w:t>
      </w:r>
    </w:p>
    <w:p>
      <w:pPr>
        <w:pStyle w:val="BodyText"/>
        <w:spacing w:before="3"/>
        <w:rPr>
          <w:sz w:val="23"/>
        </w:rPr>
      </w:pPr>
    </w:p>
    <w:p>
      <w:pPr>
        <w:pStyle w:val="ListParagraph"/>
        <w:numPr>
          <w:ilvl w:val="1"/>
          <w:numId w:val="10"/>
        </w:numPr>
        <w:tabs>
          <w:tab w:pos="1032" w:val="left" w:leader="none"/>
        </w:tabs>
        <w:spacing w:line="240" w:lineRule="auto" w:before="0" w:after="0"/>
        <w:ind w:left="1031" w:right="0" w:hanging="404"/>
        <w:jc w:val="left"/>
        <w:rPr>
          <w:sz w:val="17"/>
        </w:rPr>
      </w:pPr>
      <w:r>
        <w:rPr>
          <w:sz w:val="17"/>
        </w:rPr>
        <w:t>Определение шумовых характеристик (тест код. класс</w:t>
      </w:r>
      <w:r>
        <w:rPr>
          <w:spacing w:val="-7"/>
          <w:sz w:val="17"/>
        </w:rPr>
        <w:t> </w:t>
      </w:r>
      <w:r>
        <w:rPr>
          <w:sz w:val="17"/>
        </w:rPr>
        <w:t>2)</w:t>
      </w:r>
    </w:p>
    <w:p>
      <w:pPr>
        <w:spacing w:before="128"/>
        <w:ind w:left="627" w:right="0" w:firstLine="0"/>
        <w:jc w:val="left"/>
        <w:rPr>
          <w:sz w:val="17"/>
        </w:rPr>
      </w:pPr>
      <w:r>
        <w:rPr>
          <w:sz w:val="17"/>
        </w:rPr>
        <w:t>Применяют соответствующий раздел IEC 62841-1 со следующими изменениями:</w:t>
      </w:r>
    </w:p>
    <w:p>
      <w:pPr>
        <w:pStyle w:val="ListParagraph"/>
        <w:numPr>
          <w:ilvl w:val="2"/>
          <w:numId w:val="10"/>
        </w:numPr>
        <w:tabs>
          <w:tab w:pos="1077" w:val="left" w:leader="none"/>
        </w:tabs>
        <w:spacing w:line="264" w:lineRule="auto" w:before="20" w:after="0"/>
        <w:ind w:left="618" w:right="2798" w:firstLine="18"/>
        <w:jc w:val="left"/>
        <w:rPr>
          <w:sz w:val="17"/>
        </w:rPr>
      </w:pPr>
      <w:r>
        <w:rPr>
          <w:sz w:val="17"/>
        </w:rPr>
        <w:t>Условия установки и монтажа электрических машин при испытании на шум Дополнение:</w:t>
      </w:r>
    </w:p>
    <w:p>
      <w:pPr>
        <w:spacing w:before="1"/>
        <w:ind w:left="627" w:right="0" w:firstLine="0"/>
        <w:jc w:val="left"/>
        <w:rPr>
          <w:sz w:val="17"/>
        </w:rPr>
      </w:pPr>
      <w:r>
        <w:rPr>
          <w:sz w:val="17"/>
        </w:rPr>
        <w:t>Рубанки устанавливаются в соответствии с 1.2.5.</w:t>
      </w:r>
    </w:p>
    <w:p>
      <w:pPr>
        <w:pStyle w:val="ListParagraph"/>
        <w:numPr>
          <w:ilvl w:val="2"/>
          <w:numId w:val="10"/>
        </w:numPr>
        <w:tabs>
          <w:tab w:pos="1077" w:val="left" w:leader="none"/>
        </w:tabs>
        <w:spacing w:line="264" w:lineRule="auto" w:before="20" w:after="0"/>
        <w:ind w:left="618" w:right="7509" w:firstLine="18"/>
        <w:jc w:val="left"/>
        <w:rPr>
          <w:sz w:val="17"/>
        </w:rPr>
      </w:pPr>
      <w:r>
        <w:rPr>
          <w:sz w:val="17"/>
        </w:rPr>
        <w:t>Условия работы Дополнение:</w:t>
      </w:r>
    </w:p>
    <w:p>
      <w:pPr>
        <w:spacing w:line="264" w:lineRule="auto" w:before="1"/>
        <w:ind w:left="627" w:right="2584" w:firstLine="0"/>
        <w:jc w:val="left"/>
        <w:rPr>
          <w:sz w:val="17"/>
        </w:rPr>
      </w:pPr>
      <w:r>
        <w:rPr>
          <w:sz w:val="17"/>
        </w:rPr>
        <w:t>Рубанки испытывают под нагрузкой, соблюдая условия, указанные в таблице 1.101 Требования 5.6 IEC 62841-1 не применяются.</w:t>
      </w:r>
    </w:p>
    <w:p>
      <w:pPr>
        <w:pStyle w:val="BodyText"/>
        <w:spacing w:before="10"/>
        <w:rPr>
          <w:sz w:val="18"/>
        </w:rPr>
      </w:pPr>
    </w:p>
    <w:p>
      <w:pPr>
        <w:spacing w:before="0"/>
        <w:ind w:left="114" w:right="0" w:firstLine="0"/>
        <w:jc w:val="left"/>
        <w:rPr>
          <w:sz w:val="17"/>
        </w:rPr>
      </w:pPr>
      <w:r>
        <w:rPr>
          <w:sz w:val="17"/>
        </w:rPr>
        <w:t>Т а б л и ц е  1.101 — Условия испытания</w:t>
      </w:r>
    </w:p>
    <w:p>
      <w:pPr>
        <w:pStyle w:val="BodyText"/>
        <w:spacing w:before="1"/>
        <w:rPr>
          <w:sz w:val="8"/>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7"/>
        <w:gridCol w:w="7371"/>
      </w:tblGrid>
      <w:tr>
        <w:trPr>
          <w:trHeight w:val="4140" w:hRule="atLeast"/>
        </w:trPr>
        <w:tc>
          <w:tcPr>
            <w:tcW w:w="2277" w:type="dxa"/>
          </w:tcPr>
          <w:p>
            <w:pPr>
              <w:pStyle w:val="TableParagraph"/>
              <w:spacing w:before="114"/>
              <w:ind w:left="400"/>
              <w:rPr>
                <w:sz w:val="17"/>
              </w:rPr>
            </w:pPr>
            <w:r>
              <w:rPr>
                <w:sz w:val="17"/>
              </w:rPr>
              <w:t>Ориентация</w:t>
            </w:r>
          </w:p>
        </w:tc>
        <w:tc>
          <w:tcPr>
            <w:tcW w:w="7371" w:type="dxa"/>
          </w:tcPr>
          <w:p>
            <w:pPr>
              <w:pStyle w:val="TableParagraph"/>
              <w:spacing w:line="242" w:lineRule="auto" w:before="114"/>
              <w:ind w:left="103" w:right="134" w:firstLine="288"/>
              <w:jc w:val="both"/>
              <w:rPr>
                <w:sz w:val="17"/>
              </w:rPr>
            </w:pPr>
            <w:r>
              <w:rPr>
                <w:sz w:val="17"/>
              </w:rPr>
              <w:t>Строгание горизонтальной поверхности древесины хвойных пород без сучков и содержанием остаточной влаги не более 14%.</w:t>
            </w:r>
          </w:p>
          <w:p>
            <w:pPr>
              <w:pStyle w:val="TableParagraph"/>
              <w:spacing w:line="242" w:lineRule="auto"/>
              <w:ind w:left="103" w:right="136" w:firstLine="288"/>
              <w:jc w:val="both"/>
              <w:rPr>
                <w:sz w:val="17"/>
              </w:rPr>
            </w:pPr>
            <w:r>
              <w:rPr>
                <w:sz w:val="17"/>
              </w:rPr>
              <w:t>Объект обработки должен иметь минимальную длину 600 мм. минимальную  вы­ соту 90 мм и ширину равную 8. где В — максимальная ширина строгания за вычетом   (15 ±2)</w:t>
            </w:r>
            <w:r>
              <w:rPr>
                <w:spacing w:val="-1"/>
                <w:sz w:val="17"/>
              </w:rPr>
              <w:t> </w:t>
            </w:r>
            <w:r>
              <w:rPr>
                <w:sz w:val="17"/>
              </w:rPr>
              <w:t>мм.</w:t>
            </w:r>
          </w:p>
          <w:p>
            <w:pPr>
              <w:pStyle w:val="TableParagraph"/>
              <w:spacing w:line="247" w:lineRule="auto"/>
              <w:ind w:left="112" w:right="119" w:firstLine="278"/>
              <w:jc w:val="both"/>
              <w:rPr>
                <w:sz w:val="17"/>
              </w:rPr>
            </w:pPr>
            <w:r>
              <w:rPr>
                <w:sz w:val="17"/>
              </w:rPr>
              <w:t>Объект обработки опирается на упругий материал и надежно прикреплен с по­ мощью винтов, скоб, пневматических цилиндров или подобных средств, к испыта­ тельной стойке, показанной не рисунке 1.1 (см. рисунок 1.101). Для  надежного  крепления объекта обработки допускается наличие выемки или  подобного, например  квк показано на рисунке 1.101. Упругий материал должен быть установлен таким обра­ зом. чтобы не вызывать существенного резонанса в диапазоне частот, которые могут повлиять не результат</w:t>
            </w:r>
            <w:r>
              <w:rPr>
                <w:spacing w:val="-11"/>
                <w:sz w:val="17"/>
              </w:rPr>
              <w:t> </w:t>
            </w:r>
            <w:r>
              <w:rPr>
                <w:sz w:val="17"/>
              </w:rPr>
              <w:t>испытания.</w:t>
            </w:r>
          </w:p>
          <w:p>
            <w:pPr>
              <w:pStyle w:val="TableParagraph"/>
              <w:spacing w:line="242" w:lineRule="auto"/>
              <w:ind w:left="103" w:right="125" w:firstLine="279"/>
              <w:jc w:val="both"/>
              <w:rPr>
                <w:sz w:val="17"/>
              </w:rPr>
            </w:pPr>
            <w:r>
              <w:rPr>
                <w:sz w:val="17"/>
              </w:rPr>
              <w:t>Для предотвращения поглощения воздушного шума, упругий  материал  должен  либо</w:t>
            </w:r>
          </w:p>
          <w:p>
            <w:pPr>
              <w:pStyle w:val="TableParagraph"/>
              <w:numPr>
                <w:ilvl w:val="0"/>
                <w:numId w:val="11"/>
              </w:numPr>
              <w:tabs>
                <w:tab w:pos="624" w:val="left" w:leader="none"/>
              </w:tabs>
              <w:spacing w:line="242" w:lineRule="auto" w:before="4" w:after="0"/>
              <w:ind w:left="103" w:right="134" w:firstLine="288"/>
              <w:jc w:val="both"/>
              <w:rPr>
                <w:sz w:val="17"/>
              </w:rPr>
            </w:pPr>
            <w:r>
              <w:rPr>
                <w:sz w:val="17"/>
              </w:rPr>
              <w:t>не увеличивать зону контакта между объектом обработки и испытательным стендом.либо:</w:t>
            </w:r>
          </w:p>
          <w:p>
            <w:pPr>
              <w:pStyle w:val="TableParagraph"/>
              <w:numPr>
                <w:ilvl w:val="0"/>
                <w:numId w:val="11"/>
              </w:numPr>
              <w:tabs>
                <w:tab w:pos="535" w:val="left" w:leader="none"/>
              </w:tabs>
              <w:spacing w:line="242" w:lineRule="auto" w:before="18" w:after="0"/>
              <w:ind w:left="391" w:right="412" w:firstLine="0"/>
              <w:jc w:val="left"/>
              <w:rPr>
                <w:sz w:val="17"/>
              </w:rPr>
            </w:pPr>
            <w:r>
              <w:rPr>
                <w:sz w:val="17"/>
              </w:rPr>
              <w:t>должен</w:t>
            </w:r>
            <w:r>
              <w:rPr>
                <w:spacing w:val="-6"/>
                <w:sz w:val="17"/>
              </w:rPr>
              <w:t> </w:t>
            </w:r>
            <w:r>
              <w:rPr>
                <w:sz w:val="17"/>
              </w:rPr>
              <w:t>быть</w:t>
            </w:r>
            <w:r>
              <w:rPr>
                <w:spacing w:val="-5"/>
                <w:sz w:val="17"/>
              </w:rPr>
              <w:t> </w:t>
            </w:r>
            <w:r>
              <w:rPr>
                <w:sz w:val="17"/>
              </w:rPr>
              <w:t>выполнен</w:t>
            </w:r>
            <w:r>
              <w:rPr>
                <w:spacing w:val="-6"/>
                <w:sz w:val="17"/>
              </w:rPr>
              <w:t> </w:t>
            </w:r>
            <w:r>
              <w:rPr>
                <w:sz w:val="17"/>
              </w:rPr>
              <w:t>из</w:t>
            </w:r>
            <w:r>
              <w:rPr>
                <w:spacing w:val="-5"/>
                <w:sz w:val="17"/>
              </w:rPr>
              <w:t> </w:t>
            </w:r>
            <w:r>
              <w:rPr>
                <w:sz w:val="17"/>
              </w:rPr>
              <w:t>не</w:t>
            </w:r>
            <w:r>
              <w:rPr>
                <w:spacing w:val="-6"/>
                <w:sz w:val="17"/>
              </w:rPr>
              <w:t> </w:t>
            </w:r>
            <w:r>
              <w:rPr>
                <w:sz w:val="17"/>
              </w:rPr>
              <w:t>звукопоглощающего</w:t>
            </w:r>
            <w:r>
              <w:rPr>
                <w:spacing w:val="-6"/>
                <w:sz w:val="17"/>
              </w:rPr>
              <w:t> </w:t>
            </w:r>
            <w:r>
              <w:rPr>
                <w:sz w:val="17"/>
              </w:rPr>
              <w:t>материала,</w:t>
            </w:r>
            <w:r>
              <w:rPr>
                <w:spacing w:val="-5"/>
                <w:sz w:val="17"/>
              </w:rPr>
              <w:t> </w:t>
            </w:r>
            <w:r>
              <w:rPr>
                <w:sz w:val="17"/>
              </w:rPr>
              <w:t>такого</w:t>
            </w:r>
            <w:r>
              <w:rPr>
                <w:spacing w:val="-5"/>
                <w:sz w:val="17"/>
              </w:rPr>
              <w:t> </w:t>
            </w:r>
            <w:r>
              <w:rPr>
                <w:sz w:val="17"/>
              </w:rPr>
              <w:t>как</w:t>
            </w:r>
            <w:r>
              <w:rPr>
                <w:spacing w:val="-5"/>
                <w:sz w:val="17"/>
              </w:rPr>
              <w:t> </w:t>
            </w:r>
            <w:r>
              <w:rPr>
                <w:sz w:val="17"/>
              </w:rPr>
              <w:t>резине. Если предусмотрена направляющая, она может быть</w:t>
            </w:r>
            <w:r>
              <w:rPr>
                <w:spacing w:val="-16"/>
                <w:sz w:val="17"/>
              </w:rPr>
              <w:t> </w:t>
            </w:r>
            <w:r>
              <w:rPr>
                <w:sz w:val="17"/>
              </w:rPr>
              <w:t>использована.</w:t>
            </w:r>
          </w:p>
          <w:p>
            <w:pPr>
              <w:pStyle w:val="TableParagraph"/>
              <w:spacing w:before="2"/>
              <w:rPr>
                <w:sz w:val="17"/>
              </w:rPr>
            </w:pPr>
          </w:p>
          <w:p>
            <w:pPr>
              <w:pStyle w:val="TableParagraph"/>
              <w:spacing w:before="1"/>
              <w:ind w:left="391"/>
              <w:rPr>
                <w:sz w:val="17"/>
              </w:rPr>
            </w:pPr>
            <w:r>
              <w:rPr>
                <w:sz w:val="17"/>
              </w:rPr>
              <w:t>П р и м е ч а н и е  — Примером хвойных пород может являться ель или сосна.</w:t>
            </w:r>
          </w:p>
        </w:tc>
      </w:tr>
      <w:tr>
        <w:trPr>
          <w:trHeight w:val="560" w:hRule="atLeast"/>
        </w:trPr>
        <w:tc>
          <w:tcPr>
            <w:tcW w:w="2277" w:type="dxa"/>
          </w:tcPr>
          <w:p>
            <w:pPr>
              <w:pStyle w:val="TableParagraph"/>
              <w:spacing w:before="96"/>
              <w:ind w:left="400"/>
              <w:rPr>
                <w:sz w:val="17"/>
              </w:rPr>
            </w:pPr>
            <w:r>
              <w:rPr>
                <w:sz w:val="17"/>
              </w:rPr>
              <w:t>Рабочий инструмент</w:t>
            </w:r>
          </w:p>
        </w:tc>
        <w:tc>
          <w:tcPr>
            <w:tcW w:w="7371" w:type="dxa"/>
          </w:tcPr>
          <w:p>
            <w:pPr>
              <w:pStyle w:val="TableParagraph"/>
              <w:spacing w:line="242" w:lineRule="auto" w:before="105"/>
              <w:ind w:left="112" w:right="201" w:firstLine="278"/>
              <w:rPr>
                <w:sz w:val="17"/>
              </w:rPr>
            </w:pPr>
            <w:r>
              <w:rPr>
                <w:sz w:val="17"/>
              </w:rPr>
              <w:t>Ножи, предназначенные для строгания древесины хвойных пород. Глубина стро­ гания должна быть настроена на максимальное значение</w:t>
            </w:r>
          </w:p>
        </w:tc>
      </w:tr>
      <w:tr>
        <w:trPr>
          <w:trHeight w:val="1520" w:hRule="atLeast"/>
        </w:trPr>
        <w:tc>
          <w:tcPr>
            <w:tcW w:w="2277" w:type="dxa"/>
          </w:tcPr>
          <w:p>
            <w:pPr>
              <w:pStyle w:val="TableParagraph"/>
              <w:spacing w:before="87"/>
              <w:ind w:left="400"/>
              <w:rPr>
                <w:sz w:val="17"/>
              </w:rPr>
            </w:pPr>
            <w:r>
              <w:rPr>
                <w:sz w:val="17"/>
              </w:rPr>
              <w:t>Усилие подачи</w:t>
            </w:r>
          </w:p>
        </w:tc>
        <w:tc>
          <w:tcPr>
            <w:tcW w:w="7371" w:type="dxa"/>
          </w:tcPr>
          <w:p>
            <w:pPr>
              <w:pStyle w:val="TableParagraph"/>
              <w:spacing w:line="249" w:lineRule="auto" w:before="87"/>
              <w:ind w:left="103" w:right="116" w:firstLine="287"/>
              <w:jc w:val="both"/>
              <w:rPr>
                <w:sz w:val="17"/>
              </w:rPr>
            </w:pPr>
            <w:r>
              <w:rPr>
                <w:sz w:val="17"/>
              </w:rPr>
              <w:t>Достаточное для обеспечения постоянной скорости подачи  в  течении  (10—15)  с при совершении одного цикле (строгание заготовки 600 мм). Если возможно, то к двум имеющимся рукояткам прикладывают одинаковую силу, избегая чрезмерного усилия хвата.</w:t>
            </w:r>
          </w:p>
          <w:p>
            <w:pPr>
              <w:pStyle w:val="TableParagraph"/>
              <w:spacing w:line="242" w:lineRule="auto"/>
              <w:ind w:left="103" w:right="130" w:firstLine="288"/>
              <w:jc w:val="both"/>
              <w:rPr>
                <w:sz w:val="17"/>
              </w:rPr>
            </w:pPr>
            <w:r>
              <w:rPr>
                <w:sz w:val="17"/>
              </w:rPr>
              <w:t>Однако, если невозможно закончить строгание объекта обработки по всей длине в течении заданного времени, допускается увеличение времени цикла испытаний, регулируя усилие подвчи так. чтобы рубанок работал непрерывно</w:t>
            </w:r>
          </w:p>
        </w:tc>
      </w:tr>
      <w:tr>
        <w:trPr>
          <w:trHeight w:val="960" w:hRule="atLeast"/>
        </w:trPr>
        <w:tc>
          <w:tcPr>
            <w:tcW w:w="2277" w:type="dxa"/>
          </w:tcPr>
          <w:p>
            <w:pPr>
              <w:pStyle w:val="TableParagraph"/>
              <w:spacing w:before="105"/>
              <w:ind w:left="400"/>
              <w:rPr>
                <w:sz w:val="17"/>
              </w:rPr>
            </w:pPr>
            <w:r>
              <w:rPr>
                <w:sz w:val="17"/>
              </w:rPr>
              <w:t>Цикл испытания</w:t>
            </w:r>
          </w:p>
        </w:tc>
        <w:tc>
          <w:tcPr>
            <w:tcW w:w="7371" w:type="dxa"/>
          </w:tcPr>
          <w:p>
            <w:pPr>
              <w:pStyle w:val="TableParagraph"/>
              <w:spacing w:line="242" w:lineRule="auto" w:before="105"/>
              <w:ind w:left="112" w:right="201" w:firstLine="278"/>
              <w:rPr>
                <w:sz w:val="17"/>
              </w:rPr>
            </w:pPr>
            <w:r>
              <w:rPr>
                <w:sz w:val="17"/>
              </w:rPr>
              <w:t>Один цикл испытания заключается в строгании объекта обработки длиной 600 мм. при настройке не максимальную глубину строгания.</w:t>
            </w:r>
          </w:p>
          <w:p>
            <w:pPr>
              <w:pStyle w:val="TableParagraph"/>
              <w:spacing w:line="242" w:lineRule="auto"/>
              <w:ind w:left="103" w:right="201" w:firstLine="288"/>
              <w:rPr>
                <w:sz w:val="17"/>
              </w:rPr>
            </w:pPr>
            <w:r>
              <w:rPr>
                <w:sz w:val="17"/>
              </w:rPr>
              <w:t>Измерение включает в себя строгание объекта обработки длиной 400 мм. исклю­  чая строгание на</w:t>
            </w:r>
            <w:r>
              <w:rPr>
                <w:spacing w:val="-2"/>
                <w:sz w:val="17"/>
              </w:rPr>
              <w:t> </w:t>
            </w:r>
            <w:r>
              <w:rPr>
                <w:sz w:val="17"/>
              </w:rPr>
              <w:t>концах</w:t>
            </w:r>
          </w:p>
        </w:tc>
      </w:tr>
    </w:tbl>
    <w:p>
      <w:pPr>
        <w:pStyle w:val="BodyText"/>
        <w:spacing w:before="4"/>
        <w:rPr>
          <w:sz w:val="23"/>
        </w:rPr>
      </w:pPr>
    </w:p>
    <w:p>
      <w:pPr>
        <w:spacing w:before="0"/>
        <w:ind w:left="114" w:right="0" w:firstLine="0"/>
        <w:jc w:val="left"/>
        <w:rPr>
          <w:b/>
          <w:sz w:val="16"/>
        </w:rPr>
      </w:pPr>
      <w:r>
        <w:rPr>
          <w:b/>
          <w:sz w:val="16"/>
        </w:rPr>
        <w:t>8</w:t>
      </w:r>
    </w:p>
    <w:p>
      <w:pPr>
        <w:spacing w:after="0"/>
        <w:jc w:val="left"/>
        <w:rPr>
          <w:sz w:val="16"/>
        </w:rPr>
        <w:sectPr>
          <w:pgSz w:w="11900" w:h="16840"/>
          <w:pgMar w:header="520" w:footer="515" w:top="720" w:bottom="720" w:left="1300" w:right="720"/>
        </w:sectPr>
      </w:pPr>
    </w:p>
    <w:p>
      <w:pPr>
        <w:pStyle w:val="BodyText"/>
        <w:rPr>
          <w:b/>
          <w:sz w:val="20"/>
        </w:rPr>
      </w:pPr>
    </w:p>
    <w:p>
      <w:pPr>
        <w:pStyle w:val="BodyText"/>
        <w:spacing w:before="5"/>
        <w:rPr>
          <w:b/>
          <w:sz w:val="20"/>
        </w:rPr>
      </w:pPr>
    </w:p>
    <w:p>
      <w:pPr>
        <w:pStyle w:val="BodyText"/>
        <w:ind w:right="184"/>
        <w:jc w:val="right"/>
      </w:pPr>
      <w:r>
        <w:rPr/>
        <w:t>ГОСТ 1ЕС 62941.2-14—2016</w:t>
      </w:r>
    </w:p>
    <w:p>
      <w:pPr>
        <w:pStyle w:val="BodyText"/>
        <w:spacing w:before="7"/>
        <w:rPr>
          <w:sz w:val="16"/>
        </w:rPr>
      </w:pPr>
    </w:p>
    <w:p>
      <w:pPr>
        <w:spacing w:after="0"/>
        <w:rPr>
          <w:sz w:val="16"/>
        </w:rPr>
        <w:sectPr>
          <w:pgSz w:w="11900" w:h="16840"/>
          <w:pgMar w:header="520" w:footer="515" w:top="720" w:bottom="720" w:left="740" w:right="132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26"/>
        </w:rPr>
      </w:pPr>
    </w:p>
    <w:p>
      <w:pPr>
        <w:spacing w:before="1"/>
        <w:ind w:left="106" w:right="0" w:firstLine="0"/>
        <w:jc w:val="left"/>
        <w:rPr>
          <w:sz w:val="17"/>
        </w:rPr>
      </w:pPr>
      <w:r>
        <w:rPr>
          <w:sz w:val="17"/>
        </w:rPr>
        <w:t>ции.</w:t>
      </w:r>
    </w:p>
    <w:p>
      <w:pPr>
        <w:pStyle w:val="ListParagraph"/>
        <w:numPr>
          <w:ilvl w:val="1"/>
          <w:numId w:val="10"/>
        </w:numPr>
        <w:tabs>
          <w:tab w:pos="485" w:val="left" w:leader="none"/>
        </w:tabs>
        <w:spacing w:line="240" w:lineRule="auto" w:before="94" w:after="0"/>
        <w:ind w:left="484" w:right="0" w:hanging="360"/>
        <w:jc w:val="left"/>
        <w:rPr>
          <w:sz w:val="17"/>
        </w:rPr>
      </w:pPr>
      <w:r>
        <w:rPr>
          <w:sz w:val="17"/>
        </w:rPr>
        <w:br w:type="column"/>
        <w:t>Вибрация</w:t>
      </w:r>
    </w:p>
    <w:p>
      <w:pPr>
        <w:spacing w:before="128"/>
        <w:ind w:left="124" w:right="0" w:firstLine="0"/>
        <w:jc w:val="left"/>
        <w:rPr>
          <w:sz w:val="17"/>
        </w:rPr>
      </w:pPr>
      <w:r>
        <w:rPr>
          <w:sz w:val="17"/>
        </w:rPr>
        <w:t>Применяют соответствующий раздел 1£С 62641-1 со следующими дополнениями.</w:t>
      </w:r>
    </w:p>
    <w:p>
      <w:pPr>
        <w:spacing w:line="264" w:lineRule="auto" w:before="20"/>
        <w:ind w:left="106" w:right="6367" w:firstLine="18"/>
        <w:jc w:val="left"/>
        <w:rPr>
          <w:sz w:val="17"/>
        </w:rPr>
      </w:pPr>
      <w:r>
        <w:rPr>
          <w:sz w:val="17"/>
        </w:rPr>
        <w:t>1.3.3.2 Место измерений Дополнение:</w:t>
      </w:r>
    </w:p>
    <w:p>
      <w:pPr>
        <w:spacing w:before="1"/>
        <w:ind w:left="124" w:right="0" w:firstLine="0"/>
        <w:jc w:val="left"/>
        <w:rPr>
          <w:sz w:val="17"/>
        </w:rPr>
      </w:pPr>
      <w:r>
        <w:rPr>
          <w:sz w:val="17"/>
        </w:rPr>
        <w:t>На рисунке 1.102 показаны места установки датчиков на основной и дополнительной рукоятке рубанка.</w:t>
      </w:r>
    </w:p>
    <w:p>
      <w:pPr>
        <w:spacing w:line="264" w:lineRule="auto" w:before="20"/>
        <w:ind w:left="106" w:right="6367" w:firstLine="18"/>
        <w:jc w:val="left"/>
        <w:rPr>
          <w:sz w:val="17"/>
        </w:rPr>
      </w:pPr>
      <w:r>
        <w:rPr>
          <w:sz w:val="17"/>
        </w:rPr>
        <w:t>1.3.5.3 Условия работы Дополнение:</w:t>
      </w:r>
    </w:p>
    <w:p>
      <w:pPr>
        <w:spacing w:before="1"/>
        <w:ind w:left="124" w:right="0" w:firstLine="0"/>
        <w:jc w:val="left"/>
        <w:rPr>
          <w:sz w:val="17"/>
        </w:rPr>
      </w:pPr>
      <w:r>
        <w:rPr>
          <w:sz w:val="17"/>
        </w:rPr>
        <w:t>Рубанки испытывают под нагрузкой, соблюдая условия, указанные в таблице 1.101.</w:t>
      </w:r>
    </w:p>
    <w:p>
      <w:pPr>
        <w:spacing w:line="264" w:lineRule="auto" w:before="20"/>
        <w:ind w:left="106" w:right="5481" w:firstLine="18"/>
        <w:jc w:val="left"/>
        <w:rPr>
          <w:sz w:val="17"/>
        </w:rPr>
      </w:pPr>
      <w:r>
        <w:rPr>
          <w:sz w:val="17"/>
        </w:rPr>
        <w:t>I.3.6.2 Декларация величины полной вибрации Дополнение:</w:t>
      </w:r>
    </w:p>
    <w:p>
      <w:pPr>
        <w:spacing w:before="1"/>
        <w:ind w:left="124" w:right="0" w:firstLine="0"/>
        <w:jc w:val="left"/>
        <w:rPr>
          <w:sz w:val="17"/>
        </w:rPr>
      </w:pPr>
      <w:r>
        <w:rPr>
          <w:sz w:val="17"/>
        </w:rPr>
        <w:t>Заявляется величина полной вибрации е„ и неопределенность </w:t>
      </w:r>
      <w:r>
        <w:rPr>
          <w:i/>
          <w:sz w:val="17"/>
        </w:rPr>
        <w:t>К </w:t>
      </w:r>
      <w:r>
        <w:rPr>
          <w:sz w:val="17"/>
        </w:rPr>
        <w:t>на рукоятке с наивысшим уровнем вибра­</w:t>
      </w:r>
    </w:p>
    <w:p>
      <w:pPr>
        <w:spacing w:after="0"/>
        <w:jc w:val="left"/>
        <w:rPr>
          <w:sz w:val="17"/>
        </w:rPr>
        <w:sectPr>
          <w:type w:val="continuous"/>
          <w:pgSz w:w="11900" w:h="16840"/>
          <w:pgMar w:top="720" w:bottom="700" w:left="740" w:right="1320"/>
          <w:cols w:num="2" w:equalWidth="0">
            <w:col w:w="442" w:space="53"/>
            <w:col w:w="9345"/>
          </w:cols>
        </w:sectPr>
      </w:pPr>
    </w:p>
    <w:p>
      <w:pPr>
        <w:pStyle w:val="BodyText"/>
        <w:spacing w:before="6"/>
        <w:rPr>
          <w:sz w:val="27"/>
        </w:rPr>
      </w:pPr>
    </w:p>
    <w:p>
      <w:pPr>
        <w:tabs>
          <w:tab w:pos="7153" w:val="left" w:leader="none"/>
        </w:tabs>
        <w:spacing w:before="88"/>
        <w:ind w:left="3869" w:right="0" w:firstLine="0"/>
        <w:jc w:val="left"/>
        <w:rPr>
          <w:i/>
          <w:sz w:val="19"/>
        </w:rPr>
      </w:pPr>
      <w:r>
        <w:rPr/>
        <w:pict>
          <v:group style="position:absolute;margin-left:129.649994pt;margin-top:20.170338pt;width:261.45pt;height:247.05pt;mso-position-horizontal-relative:page;mso-position-vertical-relative:paragraph;z-index:-32104" coordorigin="2593,403" coordsize="5229,4941">
            <v:shape style="position:absolute;left:3079;top:403;width:4743;height:918" type="#_x0000_t75" stroked="false">
              <v:imagedata r:id="rId13" o:title=""/>
            </v:shape>
            <v:shape style="position:absolute;left:2593;top:1357;width:5013;height:3987" type="#_x0000_t75" stroked="false">
              <v:imagedata r:id="rId14" o:title=""/>
            </v:shape>
            <w10:wrap type="none"/>
          </v:group>
        </w:pict>
      </w:r>
      <w:r>
        <w:rPr>
          <w:rFonts w:ascii="Times New Roman"/>
          <w:i/>
          <w:sz w:val="28"/>
        </w:rPr>
        <w:t>2</w:t>
        <w:tab/>
      </w:r>
      <w:r>
        <w:rPr>
          <w:i/>
          <w:position w:val="-8"/>
          <w:sz w:val="19"/>
        </w:rPr>
        <w:t>3</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22"/>
        </w:rPr>
      </w:pPr>
    </w:p>
    <w:p>
      <w:pPr>
        <w:spacing w:before="94"/>
        <w:ind w:left="0" w:right="1886" w:firstLine="0"/>
        <w:jc w:val="right"/>
        <w:rPr>
          <w:i/>
          <w:sz w:val="19"/>
        </w:rPr>
      </w:pPr>
      <w:r>
        <w:rPr>
          <w:i/>
          <w:sz w:val="19"/>
        </w:rPr>
        <w:t>' 1</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23"/>
        </w:rPr>
      </w:pPr>
    </w:p>
    <w:p>
      <w:pPr>
        <w:spacing w:before="0"/>
        <w:ind w:left="1162" w:right="1149" w:firstLine="0"/>
        <w:jc w:val="center"/>
        <w:rPr>
          <w:sz w:val="17"/>
        </w:rPr>
      </w:pPr>
      <w:r>
        <w:rPr>
          <w:sz w:val="17"/>
        </w:rPr>
        <w:t>а) Вид сбоку</w:t>
      </w:r>
    </w:p>
    <w:p>
      <w:pPr>
        <w:pStyle w:val="BodyText"/>
        <w:spacing w:before="11"/>
        <w:rPr>
          <w:sz w:val="22"/>
        </w:rPr>
      </w:pPr>
    </w:p>
    <w:p>
      <w:pPr>
        <w:spacing w:before="0"/>
        <w:ind w:left="1188" w:right="1149" w:firstLine="0"/>
        <w:jc w:val="center"/>
        <w:rPr>
          <w:sz w:val="14"/>
        </w:rPr>
      </w:pPr>
      <w:r>
        <w:rPr>
          <w:sz w:val="14"/>
        </w:rPr>
        <w:t>I — испытательная стейка по рисунку 1.1; </w:t>
      </w:r>
      <w:r>
        <w:rPr>
          <w:i/>
          <w:sz w:val="14"/>
        </w:rPr>
        <w:t>2 </w:t>
      </w:r>
      <w:r>
        <w:rPr>
          <w:sz w:val="14"/>
        </w:rPr>
        <w:t>— упругий ыатернал. </w:t>
      </w:r>
      <w:r>
        <w:rPr>
          <w:i/>
          <w:sz w:val="14"/>
        </w:rPr>
        <w:t>3 </w:t>
      </w:r>
      <w:r>
        <w:rPr>
          <w:sz w:val="14"/>
        </w:rPr>
        <w:t>— объект обработки:</w:t>
      </w:r>
    </w:p>
    <w:p>
      <w:pPr>
        <w:spacing w:before="63"/>
        <w:ind w:left="1161" w:right="1149" w:firstLine="0"/>
        <w:jc w:val="center"/>
        <w:rPr>
          <w:sz w:val="14"/>
        </w:rPr>
      </w:pPr>
      <w:r>
        <w:rPr>
          <w:i/>
          <w:sz w:val="14"/>
        </w:rPr>
        <w:t>4 </w:t>
      </w:r>
      <w:r>
        <w:rPr>
          <w:sz w:val="14"/>
        </w:rPr>
        <w:t>— средство крепление, например зажим</w:t>
      </w:r>
    </w:p>
    <w:p>
      <w:pPr>
        <w:pStyle w:val="BodyText"/>
        <w:spacing w:before="3"/>
        <w:rPr>
          <w:sz w:val="20"/>
        </w:rPr>
      </w:pPr>
    </w:p>
    <w:p>
      <w:pPr>
        <w:spacing w:before="0"/>
        <w:ind w:left="1172" w:right="1149" w:firstLine="0"/>
        <w:jc w:val="center"/>
        <w:rPr>
          <w:sz w:val="17"/>
        </w:rPr>
      </w:pPr>
      <w:r>
        <w:rPr>
          <w:sz w:val="17"/>
        </w:rPr>
        <w:t>Рисунок 1.101 — Установка для испытания рубанков</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spacing w:before="95"/>
        <w:ind w:left="0" w:right="111" w:firstLine="0"/>
        <w:jc w:val="right"/>
        <w:rPr>
          <w:b/>
          <w:sz w:val="16"/>
        </w:rPr>
      </w:pPr>
      <w:r>
        <w:rPr>
          <w:b/>
          <w:sz w:val="16"/>
        </w:rPr>
        <w:t>9</w:t>
      </w:r>
    </w:p>
    <w:p>
      <w:pPr>
        <w:spacing w:after="0"/>
        <w:jc w:val="right"/>
        <w:rPr>
          <w:sz w:val="16"/>
        </w:rPr>
        <w:sectPr>
          <w:type w:val="continuous"/>
          <w:pgSz w:w="11900" w:h="16840"/>
          <w:pgMar w:top="720" w:bottom="700" w:left="740" w:right="1320"/>
        </w:sectPr>
      </w:pPr>
    </w:p>
    <w:p>
      <w:pPr>
        <w:pStyle w:val="BodyText"/>
        <w:rPr>
          <w:b/>
          <w:sz w:val="20"/>
        </w:rPr>
      </w:pPr>
    </w:p>
    <w:p>
      <w:pPr>
        <w:pStyle w:val="BodyText"/>
        <w:spacing w:before="5"/>
        <w:rPr>
          <w:b/>
          <w:sz w:val="20"/>
        </w:rPr>
      </w:pPr>
    </w:p>
    <w:p>
      <w:pPr>
        <w:pStyle w:val="BodyText"/>
        <w:ind w:left="102"/>
      </w:pPr>
      <w:r>
        <w:rPr/>
        <w:t>ГОСТ IEC 62841*2-14—2016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tabs>
          <w:tab w:pos="6443" w:val="left" w:leader="none"/>
        </w:tabs>
        <w:spacing w:before="192"/>
        <w:ind w:left="0" w:right="1114" w:firstLine="0"/>
        <w:jc w:val="right"/>
        <w:rPr>
          <w:rFonts w:ascii="Times New Roman"/>
          <w:i/>
          <w:sz w:val="26"/>
        </w:rPr>
      </w:pPr>
      <w:r>
        <w:rPr/>
        <w:pict>
          <v:group style="position:absolute;margin-left:191.75pt;margin-top:-136.213257pt;width:223.65pt;height:311.95pt;mso-position-horizontal-relative:page;mso-position-vertical-relative:paragraph;z-index:-32056" coordorigin="3835,-2724" coordsize="4473,6239">
            <v:shape style="position:absolute;left:3835;top:-2725;width:4473;height:5076" type="#_x0000_t75" stroked="false">
              <v:imagedata r:id="rId15" o:title=""/>
            </v:shape>
            <v:shape style="position:absolute;left:3835;top:-2725;width:4473;height:6239" type="#_x0000_t202" filled="false" stroked="false">
              <v:textbox inset="0,0,0,0">
                <w:txbxContent>
                  <w:p>
                    <w:pPr>
                      <w:spacing w:line="240" w:lineRule="auto" w:before="0"/>
                      <w:rPr>
                        <w:rFonts w:ascii="Symbol" w:hAnsi="Symbol"/>
                        <w:sz w:val="142"/>
                      </w:rPr>
                    </w:pPr>
                  </w:p>
                  <w:p>
                    <w:pPr>
                      <w:spacing w:line="240" w:lineRule="auto" w:before="0"/>
                      <w:rPr>
                        <w:rFonts w:ascii="Symbol" w:hAnsi="Symbol"/>
                        <w:sz w:val="142"/>
                      </w:rPr>
                    </w:pPr>
                  </w:p>
                  <w:p>
                    <w:pPr>
                      <w:spacing w:line="240" w:lineRule="auto" w:before="0"/>
                      <w:rPr>
                        <w:rFonts w:ascii="Symbol" w:hAnsi="Symbol"/>
                        <w:sz w:val="105"/>
                      </w:rPr>
                    </w:pPr>
                  </w:p>
                  <w:p>
                    <w:pPr>
                      <w:spacing w:before="0"/>
                      <w:ind w:left="387" w:right="0" w:firstLine="0"/>
                      <w:jc w:val="left"/>
                      <w:rPr>
                        <w:sz w:val="128"/>
                      </w:rPr>
                    </w:pPr>
                    <w:r>
                      <w:rPr>
                        <w:sz w:val="128"/>
                      </w:rPr>
                      <w:t>2 2</w:t>
                    </w:r>
                  </w:p>
                </w:txbxContent>
              </v:textbox>
              <w10:wrap type="none"/>
            </v:shape>
            <w10:wrap type="none"/>
          </v:group>
        </w:pict>
      </w:r>
      <w:r>
        <w:rPr/>
        <w:pict>
          <v:shape style="position:absolute;margin-left:452.299988pt;margin-top:5.036645pt;width:2.65pt;height:10.65pt;mso-position-horizontal-relative:page;mso-position-vertical-relative:paragraph;z-index:-32032" type="#_x0000_t202" filled="false" stroked="false">
            <v:textbox inset="0,0,0,0">
              <w:txbxContent>
                <w:p>
                  <w:pPr>
                    <w:pStyle w:val="BodyText"/>
                    <w:spacing w:line="212" w:lineRule="exact"/>
                  </w:pPr>
                  <w:r>
                    <w:rPr>
                      <w:w w:val="100"/>
                    </w:rPr>
                    <w:t>\</w:t>
                  </w:r>
                </w:p>
              </w:txbxContent>
            </v:textbox>
            <w10:wrap type="none"/>
          </v:shape>
        </w:pict>
      </w:r>
      <w:r>
        <w:rPr>
          <w:rFonts w:ascii="Times New Roman"/>
          <w:i/>
          <w:sz w:val="26"/>
        </w:rPr>
        <w:t>4</w:t>
        <w:tab/>
      </w:r>
      <w:r>
        <w:rPr>
          <w:rFonts w:ascii="Times New Roman"/>
          <w:i/>
          <w:position w:val="-4"/>
          <w:sz w:val="26"/>
        </w:rPr>
        <w:t>4</w:t>
      </w:r>
    </w:p>
    <w:p>
      <w:pPr>
        <w:pStyle w:val="BodyText"/>
        <w:rPr>
          <w:rFonts w:ascii="Times New Roman"/>
          <w:i/>
          <w:sz w:val="32"/>
        </w:rPr>
      </w:pPr>
    </w:p>
    <w:p>
      <w:pPr>
        <w:pStyle w:val="BodyText"/>
        <w:spacing w:before="3"/>
        <w:rPr>
          <w:rFonts w:ascii="Times New Roman"/>
          <w:i/>
          <w:sz w:val="25"/>
        </w:rPr>
      </w:pPr>
    </w:p>
    <w:p>
      <w:pPr>
        <w:spacing w:before="0"/>
        <w:ind w:left="0" w:right="1072" w:firstLine="0"/>
        <w:jc w:val="right"/>
        <w:rPr>
          <w:i/>
          <w:sz w:val="22"/>
        </w:rPr>
      </w:pPr>
      <w:r>
        <w:rPr>
          <w:i/>
          <w:sz w:val="22"/>
        </w:rPr>
        <w:t>1</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22"/>
        </w:rPr>
      </w:pPr>
    </w:p>
    <w:p>
      <w:pPr>
        <w:spacing w:line="552" w:lineRule="auto" w:before="0"/>
        <w:ind w:left="3956" w:right="3430" w:hanging="10"/>
        <w:jc w:val="center"/>
        <w:rPr>
          <w:sz w:val="17"/>
        </w:rPr>
      </w:pPr>
      <w:r>
        <w:rPr>
          <w:i/>
          <w:sz w:val="17"/>
        </w:rPr>
        <w:t>Ь) </w:t>
      </w:r>
      <w:r>
        <w:rPr>
          <w:sz w:val="17"/>
        </w:rPr>
        <w:t>Передний план Рисунок 1.Ю1 — Лист 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ind w:left="102"/>
        <w:rPr>
          <w:rFonts w:ascii="Symbol" w:hAnsi="Symbol"/>
        </w:rPr>
      </w:pPr>
      <w:r>
        <w:rPr>
          <w:rFonts w:ascii="Symbol" w:hAnsi="Symbol"/>
        </w:rPr>
        <w:t></w:t>
      </w:r>
    </w:p>
    <w:p>
      <w:pPr>
        <w:spacing w:after="0"/>
        <w:rPr>
          <w:rFonts w:ascii="Symbol" w:hAnsi="Symbol"/>
        </w:rPr>
        <w:sectPr>
          <w:pgSz w:w="11900" w:h="16840"/>
          <w:pgMar w:header="520" w:footer="515" w:top="720" w:bottom="720" w:left="1320" w:right="1320"/>
        </w:sectPr>
      </w:pPr>
    </w:p>
    <w:p>
      <w:pPr>
        <w:pStyle w:val="BodyText"/>
        <w:rPr>
          <w:rFonts w:ascii="Symbol" w:hAnsi="Symbol"/>
          <w:sz w:val="20"/>
        </w:rPr>
      </w:pPr>
    </w:p>
    <w:p>
      <w:pPr>
        <w:pStyle w:val="BodyText"/>
        <w:rPr>
          <w:rFonts w:ascii="Symbol" w:hAnsi="Symbol"/>
          <w:sz w:val="18"/>
        </w:rPr>
      </w:pPr>
    </w:p>
    <w:p>
      <w:pPr>
        <w:pStyle w:val="BodyText"/>
        <w:ind w:right="184"/>
        <w:jc w:val="right"/>
      </w:pPr>
      <w:r>
        <w:rPr/>
        <w:t>ГОСТ 1ЕС 62941.2-14—2016</w:t>
      </w:r>
    </w:p>
    <w:p>
      <w:pPr>
        <w:pStyle w:val="BodyText"/>
        <w:rPr>
          <w:sz w:val="20"/>
        </w:rPr>
      </w:pPr>
    </w:p>
    <w:p>
      <w:pPr>
        <w:pStyle w:val="BodyText"/>
        <w:rPr>
          <w:sz w:val="20"/>
        </w:rPr>
      </w:pPr>
    </w:p>
    <w:p>
      <w:pPr>
        <w:pStyle w:val="BodyText"/>
        <w:rPr>
          <w:sz w:val="20"/>
        </w:rPr>
      </w:pPr>
    </w:p>
    <w:p>
      <w:pPr>
        <w:pStyle w:val="BodyText"/>
        <w:spacing w:before="6"/>
        <w:rPr>
          <w:sz w:val="10"/>
        </w:rPr>
      </w:pPr>
      <w:r>
        <w:rPr/>
        <w:drawing>
          <wp:anchor distT="0" distB="0" distL="0" distR="0" allowOverlap="1" layoutInCell="1" locked="0" behindDoc="0" simplePos="0" relativeHeight="1216">
            <wp:simplePos x="0" y="0"/>
            <wp:positionH relativeFrom="page">
              <wp:posOffset>1012189</wp:posOffset>
            </wp:positionH>
            <wp:positionV relativeFrom="paragraph">
              <wp:posOffset>102094</wp:posOffset>
            </wp:positionV>
            <wp:extent cx="5160645" cy="5103495"/>
            <wp:effectExtent l="0" t="0" r="0" b="0"/>
            <wp:wrapTopAndBottom/>
            <wp:docPr id="9" name="image8.png" descr=""/>
            <wp:cNvGraphicFramePr>
              <a:graphicFrameLocks noChangeAspect="1"/>
            </wp:cNvGraphicFramePr>
            <a:graphic>
              <a:graphicData uri="http://schemas.openxmlformats.org/drawingml/2006/picture">
                <pic:pic>
                  <pic:nvPicPr>
                    <pic:cNvPr id="10" name="image8.png"/>
                    <pic:cNvPicPr/>
                  </pic:nvPicPr>
                  <pic:blipFill>
                    <a:blip r:embed="rId16" cstate="print"/>
                    <a:stretch>
                      <a:fillRect/>
                    </a:stretch>
                  </pic:blipFill>
                  <pic:spPr>
                    <a:xfrm>
                      <a:off x="0" y="0"/>
                      <a:ext cx="5160645" cy="5103495"/>
                    </a:xfrm>
                    <a:prstGeom prst="rect">
                      <a:avLst/>
                    </a:prstGeom>
                  </pic:spPr>
                </pic:pic>
              </a:graphicData>
            </a:graphic>
          </wp:anchor>
        </w:drawing>
      </w:r>
    </w:p>
    <w:p>
      <w:pPr>
        <w:pStyle w:val="BodyText"/>
        <w:spacing w:before="5"/>
        <w:rPr>
          <w:sz w:val="27"/>
        </w:rPr>
      </w:pPr>
    </w:p>
    <w:p>
      <w:pPr>
        <w:spacing w:before="0"/>
        <w:ind w:left="834" w:right="0" w:firstLine="0"/>
        <w:jc w:val="left"/>
        <w:rPr>
          <w:sz w:val="17"/>
        </w:rPr>
      </w:pPr>
      <w:r>
        <w:rPr>
          <w:sz w:val="17"/>
        </w:rPr>
        <w:t>Рисунок 1.102 — Место установки измерительного лреобрезоввтеля не рубанок</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11"/>
        <w:ind w:left="0" w:right="103" w:firstLine="0"/>
        <w:jc w:val="right"/>
        <w:rPr>
          <w:b/>
          <w:sz w:val="16"/>
        </w:rPr>
      </w:pPr>
      <w:r>
        <w:rPr>
          <w:b/>
          <w:sz w:val="16"/>
        </w:rPr>
        <w:t>11</w:t>
      </w:r>
    </w:p>
    <w:p>
      <w:pPr>
        <w:spacing w:after="0"/>
        <w:jc w:val="right"/>
        <w:rPr>
          <w:sz w:val="16"/>
        </w:rPr>
        <w:sectPr>
          <w:pgSz w:w="11900" w:h="16840"/>
          <w:pgMar w:header="520" w:footer="515" w:top="720" w:bottom="720" w:left="1480" w:right="1320"/>
        </w:sectPr>
      </w:pPr>
    </w:p>
    <w:p>
      <w:pPr>
        <w:pStyle w:val="BodyText"/>
        <w:rPr>
          <w:b/>
          <w:sz w:val="20"/>
        </w:rPr>
      </w:pPr>
    </w:p>
    <w:p>
      <w:pPr>
        <w:pStyle w:val="BodyText"/>
        <w:spacing w:before="5"/>
        <w:rPr>
          <w:b/>
          <w:sz w:val="20"/>
        </w:rPr>
      </w:pPr>
    </w:p>
    <w:p>
      <w:pPr>
        <w:pStyle w:val="BodyText"/>
        <w:ind w:left="122"/>
      </w:pPr>
      <w:r>
        <w:rPr/>
        <w:t>ГОСТ IEC 62841-2.14—2016</w:t>
      </w:r>
    </w:p>
    <w:p>
      <w:pPr>
        <w:pStyle w:val="BodyText"/>
        <w:spacing w:before="7"/>
        <w:rPr>
          <w:sz w:val="16"/>
        </w:rPr>
      </w:pPr>
    </w:p>
    <w:p>
      <w:pPr>
        <w:spacing w:line="288" w:lineRule="auto" w:before="94"/>
        <w:ind w:left="4318" w:right="4307" w:firstLine="11"/>
        <w:jc w:val="center"/>
        <w:rPr>
          <w:sz w:val="17"/>
        </w:rPr>
      </w:pPr>
      <w:r>
        <w:rPr>
          <w:sz w:val="17"/>
        </w:rPr>
        <w:t>Приложение К (обязательное)</w:t>
      </w:r>
    </w:p>
    <w:p>
      <w:pPr>
        <w:pStyle w:val="BodyText"/>
        <w:rPr>
          <w:sz w:val="18"/>
        </w:rPr>
      </w:pPr>
    </w:p>
    <w:p>
      <w:pPr>
        <w:pStyle w:val="BodyText"/>
        <w:rPr>
          <w:sz w:val="18"/>
        </w:rPr>
      </w:pPr>
    </w:p>
    <w:p>
      <w:pPr>
        <w:pStyle w:val="BodyText"/>
        <w:spacing w:before="9"/>
        <w:rPr>
          <w:sz w:val="21"/>
        </w:rPr>
      </w:pPr>
    </w:p>
    <w:p>
      <w:pPr>
        <w:pStyle w:val="BodyText"/>
        <w:ind w:left="1186" w:right="1149"/>
        <w:jc w:val="center"/>
      </w:pPr>
      <w:r>
        <w:rPr/>
        <w:t>Аккумуляторные машины и аккумуляторные батареи</w:t>
      </w:r>
    </w:p>
    <w:p>
      <w:pPr>
        <w:spacing w:line="320" w:lineRule="atLeast" w:before="143"/>
        <w:ind w:left="618" w:right="7220" w:firstLine="9"/>
        <w:jc w:val="left"/>
        <w:rPr>
          <w:sz w:val="17"/>
        </w:rPr>
      </w:pPr>
      <w:r>
        <w:rPr>
          <w:sz w:val="17"/>
        </w:rPr>
        <w:t>К.1 Область применения Дополнение:</w:t>
      </w:r>
    </w:p>
    <w:p>
      <w:pPr>
        <w:spacing w:line="264" w:lineRule="auto" w:before="20"/>
        <w:ind w:left="627" w:right="1217" w:firstLine="0"/>
        <w:jc w:val="left"/>
        <w:rPr>
          <w:sz w:val="17"/>
        </w:rPr>
      </w:pPr>
      <w:r>
        <w:rPr>
          <w:sz w:val="17"/>
        </w:rPr>
        <w:t>При отсутствии иных указаний в данном приложении применимы все пункты настоящего стандарта. К 8.14.1.101 Перечисление Ь) не применяется.</w:t>
      </w:r>
    </w:p>
    <w:p>
      <w:pPr>
        <w:spacing w:before="1"/>
        <w:ind w:left="627" w:right="0" w:firstLine="0"/>
        <w:jc w:val="left"/>
        <w:rPr>
          <w:sz w:val="17"/>
        </w:rPr>
      </w:pPr>
      <w:r>
        <w:rPr>
          <w:sz w:val="17"/>
        </w:rPr>
        <w:t>К.12.2.1 Этот пункт не применяется.</w:t>
      </w:r>
    </w:p>
    <w:p>
      <w:pPr>
        <w:spacing w:line="264" w:lineRule="auto" w:before="20"/>
        <w:ind w:left="627" w:right="6434" w:firstLine="0"/>
        <w:jc w:val="left"/>
        <w:rPr>
          <w:sz w:val="17"/>
        </w:rPr>
      </w:pPr>
      <w:r>
        <w:rPr>
          <w:sz w:val="17"/>
        </w:rPr>
        <w:t>K.20.S Этот пункт не применяется. К.21.16.1.2 Дополнение:</w:t>
      </w:r>
    </w:p>
    <w:p>
      <w:pPr>
        <w:spacing w:line="264" w:lineRule="auto" w:before="1"/>
        <w:ind w:left="114" w:right="103" w:firstLine="503"/>
        <w:jc w:val="both"/>
        <w:rPr>
          <w:sz w:val="17"/>
        </w:rPr>
      </w:pPr>
      <w:r>
        <w:rPr>
          <w:sz w:val="17"/>
        </w:rPr>
        <w:t>Для включения машины должно быть осуществлено два разнородных действия (например, выключатель  питания не должен включать машину до  нажатия  бокового  блокирующего  устройства).  Прямолинейное  движение или хват одной рукой не должны вызывать пуска</w:t>
      </w:r>
      <w:r>
        <w:rPr>
          <w:spacing w:val="-26"/>
          <w:sz w:val="17"/>
        </w:rPr>
        <w:t> </w:t>
      </w:r>
      <w:r>
        <w:rPr>
          <w:sz w:val="17"/>
        </w:rPr>
        <w:t>машины.</w:t>
      </w:r>
    </w:p>
    <w:p>
      <w:pPr>
        <w:spacing w:before="1"/>
        <w:ind w:left="636" w:right="0" w:firstLine="0"/>
        <w:jc w:val="left"/>
        <w:rPr>
          <w:i/>
          <w:sz w:val="17"/>
        </w:rPr>
      </w:pPr>
      <w:r>
        <w:rPr>
          <w:sz w:val="17"/>
        </w:rPr>
        <w:t>Соответствие проверяют </w:t>
      </w:r>
      <w:r>
        <w:rPr>
          <w:i/>
          <w:sz w:val="17"/>
        </w:rPr>
        <w:t>осмотром и испытанием.</w:t>
      </w:r>
    </w:p>
    <w:p>
      <w:pPr>
        <w:spacing w:before="20"/>
        <w:ind w:left="627" w:right="0" w:firstLine="0"/>
        <w:jc w:val="left"/>
        <w:rPr>
          <w:sz w:val="17"/>
        </w:rPr>
      </w:pPr>
      <w:r>
        <w:rPr>
          <w:sz w:val="17"/>
        </w:rPr>
        <w:t>К.21.30 Э</w:t>
      </w:r>
      <w:r>
        <w:rPr>
          <w:sz w:val="13"/>
        </w:rPr>
        <w:t>т о т  </w:t>
      </w:r>
      <w:r>
        <w:rPr>
          <w:sz w:val="17"/>
        </w:rPr>
        <w:t>пункт не применяется.</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17"/>
        </w:rPr>
      </w:pPr>
    </w:p>
    <w:p>
      <w:pPr>
        <w:spacing w:line="288" w:lineRule="auto" w:before="0"/>
        <w:ind w:left="4323" w:right="4302" w:firstLine="0"/>
        <w:jc w:val="center"/>
        <w:rPr>
          <w:sz w:val="17"/>
        </w:rPr>
      </w:pPr>
      <w:r>
        <w:rPr>
          <w:sz w:val="17"/>
        </w:rPr>
        <w:t>Приложение L (обязательное)</w:t>
      </w:r>
    </w:p>
    <w:p>
      <w:pPr>
        <w:pStyle w:val="BodyText"/>
        <w:rPr>
          <w:sz w:val="18"/>
        </w:rPr>
      </w:pPr>
    </w:p>
    <w:p>
      <w:pPr>
        <w:pStyle w:val="BodyText"/>
        <w:rPr>
          <w:sz w:val="18"/>
        </w:rPr>
      </w:pPr>
    </w:p>
    <w:p>
      <w:pPr>
        <w:pStyle w:val="BodyText"/>
        <w:spacing w:before="10"/>
        <w:rPr>
          <w:sz w:val="21"/>
        </w:rPr>
      </w:pPr>
    </w:p>
    <w:p>
      <w:pPr>
        <w:pStyle w:val="BodyText"/>
        <w:spacing w:line="297" w:lineRule="auto"/>
        <w:ind w:left="1191" w:right="1149"/>
        <w:jc w:val="center"/>
      </w:pPr>
      <w:r>
        <w:rPr/>
        <w:t>Аккумуляторные машины и аккумуляторные батареи, имеющие соединение с сетью или неизолированными источниками питания</w:t>
      </w:r>
    </w:p>
    <w:p>
      <w:pPr>
        <w:spacing w:line="300" w:lineRule="atLeast" w:before="112"/>
        <w:ind w:left="618" w:right="7225" w:firstLine="9"/>
        <w:jc w:val="left"/>
        <w:rPr>
          <w:sz w:val="17"/>
        </w:rPr>
      </w:pPr>
      <w:r>
        <w:rPr>
          <w:sz w:val="17"/>
        </w:rPr>
        <w:t>L.1 Область применения Дополнение:</w:t>
      </w:r>
    </w:p>
    <w:p>
      <w:pPr>
        <w:spacing w:line="264" w:lineRule="auto" w:before="20"/>
        <w:ind w:left="627" w:right="1217" w:firstLine="0"/>
        <w:jc w:val="left"/>
        <w:rPr>
          <w:sz w:val="17"/>
        </w:rPr>
      </w:pPr>
      <w:r>
        <w:rPr>
          <w:sz w:val="17"/>
        </w:rPr>
        <w:t>При отсутствии иных указаний в данном приложении применимы все пункты нестоящего стандарта. К.21.18.2.101 Дополнение:</w:t>
      </w:r>
    </w:p>
    <w:p>
      <w:pPr>
        <w:spacing w:line="264" w:lineRule="auto" w:before="1"/>
        <w:ind w:left="114" w:right="102" w:firstLine="503"/>
        <w:jc w:val="both"/>
        <w:rPr>
          <w:sz w:val="17"/>
        </w:rPr>
      </w:pPr>
      <w:r>
        <w:rPr>
          <w:sz w:val="17"/>
        </w:rPr>
        <w:t>Для включения машины, должны быть совершены два разнородных действия (например, выключатель пита­   ния не должен включать машину до нажатия  бокового  блокирующего  устройства).  Прямолинейное  движение  или хват одной рукой не должны вызывать пуске</w:t>
      </w:r>
      <w:r>
        <w:rPr>
          <w:spacing w:val="-26"/>
          <w:sz w:val="17"/>
        </w:rPr>
        <w:t> </w:t>
      </w:r>
      <w:r>
        <w:rPr>
          <w:sz w:val="17"/>
        </w:rPr>
        <w:t>машины.</w:t>
      </w:r>
    </w:p>
    <w:p>
      <w:pPr>
        <w:spacing w:before="1"/>
        <w:ind w:left="636" w:right="0" w:firstLine="0"/>
        <w:jc w:val="left"/>
        <w:rPr>
          <w:i/>
          <w:sz w:val="17"/>
        </w:rPr>
      </w:pPr>
      <w:r>
        <w:rPr>
          <w:sz w:val="17"/>
        </w:rPr>
        <w:t>Соответствие проверяют </w:t>
      </w:r>
      <w:r>
        <w:rPr>
          <w:i/>
          <w:sz w:val="17"/>
        </w:rPr>
        <w:t>осмотром и испытанием.</w:t>
      </w: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spacing w:before="7"/>
        <w:rPr>
          <w:i/>
          <w:sz w:val="20"/>
        </w:rPr>
      </w:pPr>
    </w:p>
    <w:p>
      <w:pPr>
        <w:spacing w:before="0"/>
        <w:ind w:left="122" w:right="0" w:firstLine="0"/>
        <w:jc w:val="left"/>
        <w:rPr>
          <w:b/>
          <w:sz w:val="16"/>
        </w:rPr>
      </w:pPr>
      <w:r>
        <w:rPr>
          <w:b/>
          <w:sz w:val="16"/>
        </w:rPr>
        <w:t>12</w:t>
      </w:r>
    </w:p>
    <w:p>
      <w:pPr>
        <w:spacing w:after="0"/>
        <w:jc w:val="left"/>
        <w:rPr>
          <w:sz w:val="16"/>
        </w:rPr>
        <w:sectPr>
          <w:pgSz w:w="11900" w:h="16840"/>
          <w:pgMar w:header="520" w:footer="515" w:top="720" w:bottom="720" w:left="1300" w:right="760"/>
        </w:sectPr>
      </w:pPr>
    </w:p>
    <w:p>
      <w:pPr>
        <w:pStyle w:val="BodyText"/>
        <w:rPr>
          <w:b/>
          <w:sz w:val="20"/>
        </w:rPr>
      </w:pPr>
    </w:p>
    <w:p>
      <w:pPr>
        <w:pStyle w:val="BodyText"/>
        <w:spacing w:before="5"/>
        <w:rPr>
          <w:b/>
          <w:sz w:val="20"/>
        </w:rPr>
      </w:pPr>
    </w:p>
    <w:p>
      <w:pPr>
        <w:pStyle w:val="BodyText"/>
        <w:ind w:right="364"/>
        <w:jc w:val="right"/>
      </w:pPr>
      <w:r>
        <w:rPr/>
        <w:t>ГОСТ 1ЕС 62941.2-14—2016</w:t>
      </w:r>
    </w:p>
    <w:p>
      <w:pPr>
        <w:pStyle w:val="BodyText"/>
        <w:spacing w:before="7"/>
        <w:rPr>
          <w:sz w:val="16"/>
        </w:rPr>
      </w:pPr>
    </w:p>
    <w:p>
      <w:pPr>
        <w:spacing w:line="288" w:lineRule="auto" w:before="94"/>
        <w:ind w:left="4266" w:right="4418" w:firstLine="0"/>
        <w:jc w:val="center"/>
        <w:rPr>
          <w:sz w:val="17"/>
        </w:rPr>
      </w:pPr>
      <w:r>
        <w:rPr>
          <w:sz w:val="17"/>
        </w:rPr>
        <w:t>Приложение ДА (справочное)</w:t>
      </w:r>
    </w:p>
    <w:p>
      <w:pPr>
        <w:pStyle w:val="BodyText"/>
        <w:rPr>
          <w:sz w:val="18"/>
        </w:rPr>
      </w:pPr>
    </w:p>
    <w:p>
      <w:pPr>
        <w:pStyle w:val="BodyText"/>
        <w:rPr>
          <w:sz w:val="18"/>
        </w:rPr>
      </w:pPr>
    </w:p>
    <w:p>
      <w:pPr>
        <w:pStyle w:val="BodyText"/>
        <w:spacing w:before="9"/>
        <w:rPr>
          <w:sz w:val="21"/>
        </w:rPr>
      </w:pPr>
    </w:p>
    <w:p>
      <w:pPr>
        <w:pStyle w:val="BodyText"/>
        <w:spacing w:line="297" w:lineRule="auto"/>
        <w:ind w:left="2024" w:right="2159"/>
        <w:jc w:val="center"/>
      </w:pPr>
      <w:r>
        <w:rPr/>
        <w:t>Сведения о соответствии ссылочных международных стандартов межгосударственным стандартам</w:t>
      </w:r>
    </w:p>
    <w:p>
      <w:pPr>
        <w:pStyle w:val="BodyText"/>
        <w:spacing w:before="7"/>
        <w:rPr>
          <w:sz w:val="10"/>
        </w:rPr>
      </w:pPr>
    </w:p>
    <w:p>
      <w:pPr>
        <w:spacing w:before="94"/>
        <w:ind w:left="126" w:right="0" w:firstLine="0"/>
        <w:jc w:val="left"/>
        <w:rPr>
          <w:sz w:val="17"/>
        </w:rPr>
      </w:pPr>
      <w:r>
        <w:rPr/>
        <w:pict>
          <v:shape style="position:absolute;margin-left:41.650002pt;margin-top:19.172913pt;width:483.6pt;height:103.55pt;mso-position-horizontal-relative:page;mso-position-vertical-relative:paragraph;z-index:12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1"/>
                    <w:gridCol w:w="1602"/>
                    <w:gridCol w:w="5544"/>
                  </w:tblGrid>
                  <w:tr>
                    <w:trPr>
                      <w:trHeight w:val="620" w:hRule="atLeast"/>
                    </w:trPr>
                    <w:tc>
                      <w:tcPr>
                        <w:tcW w:w="2511" w:type="dxa"/>
                      </w:tcPr>
                      <w:p>
                        <w:pPr>
                          <w:pStyle w:val="TableParagraph"/>
                          <w:spacing w:line="242" w:lineRule="auto" w:before="114"/>
                          <w:ind w:left="160" w:right="130" w:firstLine="78"/>
                          <w:rPr>
                            <w:sz w:val="17"/>
                          </w:rPr>
                        </w:pPr>
                        <w:r>
                          <w:rPr>
                            <w:sz w:val="17"/>
                          </w:rPr>
                          <w:t>Обозначение ссылочного международного стандарта</w:t>
                        </w:r>
                      </w:p>
                    </w:tc>
                    <w:tc>
                      <w:tcPr>
                        <w:tcW w:w="1602" w:type="dxa"/>
                      </w:tcPr>
                      <w:p>
                        <w:pPr>
                          <w:pStyle w:val="TableParagraph"/>
                          <w:spacing w:line="242" w:lineRule="auto" w:before="114"/>
                          <w:ind w:left="272" w:right="245" w:firstLine="195"/>
                          <w:rPr>
                            <w:sz w:val="17"/>
                          </w:rPr>
                        </w:pPr>
                        <w:r>
                          <w:rPr>
                            <w:sz w:val="17"/>
                          </w:rPr>
                          <w:t>Степень соответствия</w:t>
                        </w:r>
                      </w:p>
                    </w:tc>
                    <w:tc>
                      <w:tcPr>
                        <w:tcW w:w="5544" w:type="dxa"/>
                      </w:tcPr>
                      <w:p>
                        <w:pPr>
                          <w:pStyle w:val="TableParagraph"/>
                          <w:spacing w:line="242" w:lineRule="auto" w:before="114"/>
                          <w:ind w:left="2352" w:right="-17" w:hanging="2267"/>
                          <w:rPr>
                            <w:sz w:val="17"/>
                          </w:rPr>
                        </w:pPr>
                        <w:r>
                          <w:rPr>
                            <w:sz w:val="17"/>
                          </w:rPr>
                          <w:t>Обозначение* наименование соответствующего</w:t>
                        </w:r>
                        <w:r>
                          <w:rPr>
                            <w:spacing w:val="-12"/>
                            <w:sz w:val="17"/>
                          </w:rPr>
                          <w:t> </w:t>
                        </w:r>
                        <w:r>
                          <w:rPr>
                            <w:sz w:val="17"/>
                          </w:rPr>
                          <w:t>межгосударственно стандарта</w:t>
                        </w:r>
                      </w:p>
                    </w:tc>
                  </w:tr>
                  <w:tr>
                    <w:trPr>
                      <w:trHeight w:val="700" w:hRule="atLeast"/>
                    </w:trPr>
                    <w:tc>
                      <w:tcPr>
                        <w:tcW w:w="2511" w:type="dxa"/>
                      </w:tcPr>
                      <w:p>
                        <w:pPr>
                          <w:pStyle w:val="TableParagraph"/>
                          <w:spacing w:before="78"/>
                          <w:ind w:left="446"/>
                          <w:rPr>
                            <w:sz w:val="17"/>
                          </w:rPr>
                        </w:pPr>
                        <w:r>
                          <w:rPr>
                            <w:sz w:val="17"/>
                          </w:rPr>
                          <w:t>IEC 62841-1(2014)</w:t>
                        </w:r>
                      </w:p>
                    </w:tc>
                    <w:tc>
                      <w:tcPr>
                        <w:tcW w:w="1602" w:type="dxa"/>
                      </w:tcPr>
                      <w:p>
                        <w:pPr>
                          <w:pStyle w:val="TableParagraph"/>
                          <w:spacing w:before="78"/>
                          <w:ind w:left="400"/>
                          <w:rPr>
                            <w:sz w:val="17"/>
                          </w:rPr>
                        </w:pPr>
                        <w:r>
                          <w:rPr>
                            <w:sz w:val="17"/>
                          </w:rPr>
                          <w:t>ЮТ</w:t>
                        </w:r>
                      </w:p>
                    </w:tc>
                    <w:tc>
                      <w:tcPr>
                        <w:tcW w:w="5544" w:type="dxa"/>
                      </w:tcPr>
                      <w:p>
                        <w:pPr>
                          <w:pStyle w:val="TableParagraph"/>
                          <w:spacing w:line="242" w:lineRule="auto" w:before="78"/>
                          <w:ind w:left="112" w:right="135" w:firstLine="287"/>
                          <w:jc w:val="both"/>
                          <w:rPr>
                            <w:sz w:val="17"/>
                          </w:rPr>
                        </w:pPr>
                        <w:r>
                          <w:rPr>
                            <w:sz w:val="17"/>
                          </w:rPr>
                          <w:t>ГОСТ IEC 62841-1—2014 «Мвшины ручные, переносные и садово-огородные электрические. Безопасность и методы испытаний. Честь 1. Общие требования»</w:t>
                        </w:r>
                      </w:p>
                    </w:tc>
                  </w:tr>
                  <w:tr>
                    <w:trPr>
                      <w:trHeight w:val="700" w:hRule="atLeast"/>
                    </w:trPr>
                    <w:tc>
                      <w:tcPr>
                        <w:tcW w:w="9657" w:type="dxa"/>
                        <w:gridSpan w:val="3"/>
                      </w:tcPr>
                      <w:p>
                        <w:pPr>
                          <w:pStyle w:val="TableParagraph"/>
                          <w:spacing w:line="242" w:lineRule="auto" w:before="69"/>
                          <w:ind w:left="120" w:right="39" w:firstLine="288"/>
                          <w:rPr>
                            <w:sz w:val="17"/>
                          </w:rPr>
                        </w:pPr>
                        <w:r>
                          <w:rPr>
                            <w:sz w:val="17"/>
                          </w:rPr>
                          <w:t>П р и м е н е н и е — В настоящей таблице использовано следующее условное обозначение степени соот­ ветствия стандарте:</w:t>
                        </w:r>
                      </w:p>
                      <w:p>
                        <w:pPr>
                          <w:pStyle w:val="TableParagraph"/>
                          <w:numPr>
                            <w:ilvl w:val="0"/>
                            <w:numId w:val="12"/>
                          </w:numPr>
                          <w:tabs>
                            <w:tab w:pos="507" w:val="left" w:leader="none"/>
                          </w:tabs>
                          <w:spacing w:line="240" w:lineRule="auto" w:before="0" w:after="0"/>
                          <w:ind w:left="506" w:right="0" w:hanging="106"/>
                          <w:jc w:val="left"/>
                          <w:rPr>
                            <w:sz w:val="17"/>
                          </w:rPr>
                        </w:pPr>
                        <w:r>
                          <w:rPr>
                            <w:sz w:val="17"/>
                          </w:rPr>
                          <w:t>IDT — идентичный ствндврт.</w:t>
                        </w:r>
                      </w:p>
                    </w:tc>
                  </w:tr>
                </w:tbl>
                <w:p>
                  <w:pPr>
                    <w:pStyle w:val="BodyText"/>
                  </w:pPr>
                </w:p>
              </w:txbxContent>
            </v:textbox>
            <w10:wrap type="none"/>
          </v:shape>
        </w:pict>
      </w:r>
      <w:r>
        <w:rPr>
          <w:sz w:val="17"/>
        </w:rPr>
        <w:t>Т а б л и ц а  ДА.1</w:t>
      </w:r>
    </w:p>
    <w:p>
      <w:pPr>
        <w:pStyle w:val="BodyText"/>
        <w:spacing w:before="10"/>
        <w:rPr>
          <w:sz w:val="18"/>
        </w:rPr>
      </w:pPr>
    </w:p>
    <w:p>
      <w:pPr>
        <w:spacing w:before="1"/>
        <w:ind w:left="9779" w:right="0" w:firstLine="0"/>
        <w:jc w:val="left"/>
        <w:rPr>
          <w:sz w:val="17"/>
        </w:rPr>
      </w:pPr>
      <w:r>
        <w:rPr>
          <w:sz w:val="17"/>
        </w:rPr>
        <w:t>го</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15"/>
        </w:rPr>
      </w:pPr>
    </w:p>
    <w:p>
      <w:pPr>
        <w:pStyle w:val="BodyText"/>
        <w:ind w:left="4272" w:right="4418"/>
        <w:jc w:val="center"/>
      </w:pPr>
      <w:r>
        <w:rPr/>
        <w:t>Библиография</w:t>
      </w:r>
    </w:p>
    <w:p>
      <w:pPr>
        <w:pStyle w:val="BodyText"/>
        <w:spacing w:before="9"/>
        <w:rPr>
          <w:sz w:val="24"/>
        </w:rPr>
      </w:pPr>
    </w:p>
    <w:p>
      <w:pPr>
        <w:spacing w:before="0"/>
        <w:ind w:left="640" w:right="0" w:firstLine="0"/>
        <w:jc w:val="left"/>
        <w:rPr>
          <w:sz w:val="17"/>
        </w:rPr>
      </w:pPr>
      <w:r>
        <w:rPr>
          <w:sz w:val="17"/>
        </w:rPr>
        <w:t>Применяют соответствующий раздел IEC 62841-1.</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22"/>
        </w:rPr>
      </w:pPr>
    </w:p>
    <w:p>
      <w:pPr>
        <w:spacing w:before="0"/>
        <w:ind w:left="0" w:right="266" w:firstLine="0"/>
        <w:jc w:val="right"/>
        <w:rPr>
          <w:sz w:val="18"/>
        </w:rPr>
      </w:pPr>
      <w:r>
        <w:rPr>
          <w:sz w:val="18"/>
        </w:rPr>
        <w:t>13</w:t>
      </w:r>
    </w:p>
    <w:p>
      <w:pPr>
        <w:spacing w:after="0"/>
        <w:jc w:val="right"/>
        <w:rPr>
          <w:sz w:val="18"/>
        </w:rPr>
        <w:sectPr>
          <w:pgSz w:w="11900" w:h="16840"/>
          <w:pgMar w:header="520" w:footer="515" w:top="720" w:bottom="720" w:left="720" w:right="1140"/>
        </w:sectPr>
      </w:pPr>
    </w:p>
    <w:p>
      <w:pPr>
        <w:pStyle w:val="BodyText"/>
        <w:rPr>
          <w:sz w:val="20"/>
        </w:rPr>
      </w:pPr>
    </w:p>
    <w:p>
      <w:pPr>
        <w:pStyle w:val="BodyText"/>
        <w:spacing w:before="6"/>
        <w:rPr>
          <w:sz w:val="20"/>
        </w:rPr>
      </w:pPr>
    </w:p>
    <w:p>
      <w:pPr>
        <w:pStyle w:val="BodyText"/>
        <w:ind w:left="182"/>
      </w:pPr>
      <w:r>
        <w:rPr/>
        <w:t>ГОСТ IEC 62841 &gt;2*14—2016</w:t>
      </w:r>
    </w:p>
    <w:p>
      <w:pPr>
        <w:pStyle w:val="BodyText"/>
        <w:rPr>
          <w:sz w:val="20"/>
        </w:rPr>
      </w:pPr>
    </w:p>
    <w:p>
      <w:pPr>
        <w:pStyle w:val="BodyText"/>
        <w:rPr>
          <w:sz w:val="20"/>
        </w:rPr>
      </w:pPr>
    </w:p>
    <w:p>
      <w:pPr>
        <w:pStyle w:val="BodyText"/>
        <w:spacing w:before="7"/>
        <w:rPr>
          <w:sz w:val="17"/>
        </w:rPr>
      </w:pPr>
    </w:p>
    <w:p>
      <w:pPr>
        <w:pStyle w:val="BodyText"/>
        <w:tabs>
          <w:tab w:pos="5059" w:val="left" w:leader="none"/>
          <w:tab w:pos="9271" w:val="left" w:leader="none"/>
        </w:tabs>
        <w:ind w:left="12"/>
        <w:jc w:val="center"/>
      </w:pPr>
      <w:r>
        <w:rPr/>
        <w:t>УДК621.912.02:006.354</w:t>
        <w:tab/>
        <w:t>МКС25.140.20</w:t>
        <w:tab/>
        <w:t>IDT</w:t>
      </w:r>
    </w:p>
    <w:p>
      <w:pPr>
        <w:pStyle w:val="BodyText"/>
        <w:spacing w:before="7"/>
        <w:rPr>
          <w:sz w:val="21"/>
        </w:rPr>
      </w:pPr>
    </w:p>
    <w:p>
      <w:pPr>
        <w:pStyle w:val="BodyText"/>
        <w:spacing w:line="276" w:lineRule="auto"/>
        <w:ind w:left="174"/>
      </w:pPr>
      <w:r>
        <w:rPr/>
        <w:t>Ключевые слова: машины ручные, переносные и садово*ого родные электрические, ручные рубанки, безопасность, испытания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spacing w:before="1"/>
        <w:ind w:left="42" w:right="0" w:firstLine="0"/>
        <w:jc w:val="center"/>
        <w:rPr>
          <w:i/>
          <w:sz w:val="14"/>
        </w:rPr>
      </w:pPr>
      <w:r>
        <w:rPr>
          <w:sz w:val="14"/>
        </w:rPr>
        <w:t>Редактор </w:t>
      </w:r>
      <w:r>
        <w:rPr>
          <w:i/>
          <w:sz w:val="14"/>
        </w:rPr>
        <w:t>Н Г. Копылова</w:t>
      </w:r>
    </w:p>
    <w:p>
      <w:pPr>
        <w:spacing w:before="55"/>
        <w:ind w:left="33" w:right="0" w:firstLine="0"/>
        <w:jc w:val="center"/>
        <w:rPr>
          <w:i/>
          <w:sz w:val="14"/>
        </w:rPr>
      </w:pPr>
      <w:r>
        <w:rPr>
          <w:sz w:val="14"/>
        </w:rPr>
        <w:t>Технический редактор </w:t>
      </w:r>
      <w:r>
        <w:rPr>
          <w:i/>
          <w:sz w:val="14"/>
        </w:rPr>
        <w:t>в.Н. Прусакова</w:t>
      </w:r>
    </w:p>
    <w:p>
      <w:pPr>
        <w:spacing w:before="55"/>
        <w:ind w:left="44" w:right="0" w:firstLine="0"/>
        <w:jc w:val="center"/>
        <w:rPr>
          <w:i/>
          <w:sz w:val="14"/>
        </w:rPr>
      </w:pPr>
      <w:r>
        <w:rPr>
          <w:sz w:val="14"/>
        </w:rPr>
        <w:t>Корректор </w:t>
      </w:r>
      <w:r>
        <w:rPr>
          <w:i/>
          <w:sz w:val="14"/>
        </w:rPr>
        <w:t>Р.А. Ментооа</w:t>
      </w:r>
    </w:p>
    <w:p>
      <w:pPr>
        <w:spacing w:before="55"/>
        <w:ind w:left="50" w:right="0" w:firstLine="0"/>
        <w:jc w:val="center"/>
        <w:rPr>
          <w:i/>
          <w:sz w:val="14"/>
        </w:rPr>
      </w:pPr>
      <w:r>
        <w:rPr>
          <w:sz w:val="14"/>
        </w:rPr>
        <w:t>Компьютерная верстка </w:t>
      </w:r>
      <w:r>
        <w:rPr>
          <w:i/>
          <w:sz w:val="14"/>
        </w:rPr>
        <w:t>И. А. Налейкиной</w:t>
      </w:r>
    </w:p>
    <w:p>
      <w:pPr>
        <w:pStyle w:val="BodyText"/>
        <w:spacing w:before="8"/>
        <w:rPr>
          <w:i/>
          <w:sz w:val="22"/>
        </w:rPr>
      </w:pPr>
    </w:p>
    <w:p>
      <w:pPr>
        <w:spacing w:before="1"/>
        <w:ind w:left="32" w:right="0" w:firstLine="0"/>
        <w:jc w:val="center"/>
        <w:rPr>
          <w:sz w:val="14"/>
        </w:rPr>
      </w:pPr>
      <w:r>
        <w:rPr>
          <w:sz w:val="14"/>
        </w:rPr>
        <w:t>Сдано в набор 20.03.2017. Подписано о печать 20.04.20t7. Формат 00-04Гарнитура Ариал.</w:t>
      </w:r>
    </w:p>
    <w:p>
      <w:pPr>
        <w:spacing w:before="46"/>
        <w:ind w:left="50" w:right="0" w:firstLine="0"/>
        <w:jc w:val="center"/>
        <w:rPr>
          <w:sz w:val="14"/>
        </w:rPr>
      </w:pPr>
      <w:r>
        <w:rPr>
          <w:sz w:val="14"/>
        </w:rPr>
        <w:t>Уел. печ. л. 2.32. Уч.-изд. л. 2.10. Тираж 20 эм Зак. 543.</w:t>
      </w:r>
    </w:p>
    <w:p>
      <w:pPr>
        <w:spacing w:before="73"/>
        <w:ind w:left="2009" w:right="0" w:firstLine="0"/>
        <w:jc w:val="left"/>
        <w:rPr>
          <w:sz w:val="14"/>
        </w:rPr>
      </w:pPr>
      <w:r>
        <w:rPr>
          <w:sz w:val="14"/>
        </w:rPr>
        <w:t>Подготовлено на основе электронной версии, предоставленной разработчиком стандарта</w:t>
      </w:r>
    </w:p>
    <w:p>
      <w:pPr>
        <w:pStyle w:val="BodyText"/>
        <w:spacing w:before="6"/>
        <w:rPr>
          <w:sz w:val="23"/>
        </w:rPr>
      </w:pPr>
    </w:p>
    <w:p>
      <w:pPr>
        <w:spacing w:before="0"/>
        <w:ind w:left="1604" w:right="0" w:firstLine="0"/>
        <w:jc w:val="left"/>
        <w:rPr>
          <w:sz w:val="14"/>
        </w:rPr>
      </w:pPr>
      <w:r>
        <w:rPr>
          <w:sz w:val="14"/>
        </w:rPr>
        <w:t>Издано и отпечатано ео ФГУП «СТАНДАРТИНФОРМ». 12399S Москва. Гранатный пер.. 4.</w:t>
      </w:r>
    </w:p>
    <w:p>
      <w:pPr>
        <w:tabs>
          <w:tab w:pos="1862" w:val="left" w:leader="none"/>
        </w:tabs>
        <w:spacing w:before="54"/>
        <w:ind w:left="0" w:right="64" w:firstLine="0"/>
        <w:jc w:val="center"/>
        <w:rPr>
          <w:sz w:val="14"/>
        </w:rPr>
      </w:pPr>
      <w:hyperlink r:id="rId18">
        <w:r>
          <w:rPr>
            <w:sz w:val="14"/>
          </w:rPr>
          <w:t>www.90slinra.1u</w:t>
        </w:r>
      </w:hyperlink>
      <w:r>
        <w:rPr>
          <w:sz w:val="14"/>
        </w:rPr>
        <w:tab/>
        <w:t>info"@goslmfo.ru</w:t>
      </w:r>
    </w:p>
    <w:sectPr>
      <w:footerReference w:type="default" r:id="rId17"/>
      <w:pgSz w:w="11900" w:h="16840"/>
      <w:pgMar w:footer="554" w:header="520" w:top="720" w:bottom="740" w:left="12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3215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970001pt;margin-top:803.312927pt;width:28.1pt;height:12.65pt;mso-position-horizontal-relative:page;mso-position-vertical-relative:page;z-index:-32104"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804.873718pt;width:151.5pt;height:10.95pt;mso-position-horizontal-relative:page;mso-position-vertical-relative:page;z-index:-3208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0.181pt;margin-top:24.931927pt;width:28.1pt;height:12.65pt;mso-position-horizontal-relative:page;mso-position-vertical-relative:page;z-index:-32200"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26.073935pt;width:151.5pt;height:10.95pt;mso-position-horizontal-relative:page;mso-position-vertical-relative:page;z-index:-3217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25.67391pt;width:151.5pt;height:10.95pt;mso-position-horizontal-relative:page;mso-position-vertical-relative:page;z-index:-3212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506" w:hanging="107"/>
      </w:pPr>
      <w:rPr>
        <w:rFonts w:hint="default" w:ascii="Arial" w:hAnsi="Arial" w:eastAsia="Arial" w:cs="Arial"/>
        <w:w w:val="99"/>
        <w:sz w:val="17"/>
        <w:szCs w:val="17"/>
      </w:rPr>
    </w:lvl>
    <w:lvl w:ilvl="1">
      <w:start w:val="0"/>
      <w:numFmt w:val="bullet"/>
      <w:lvlText w:val="•"/>
      <w:lvlJc w:val="left"/>
      <w:pPr>
        <w:ind w:left="1414" w:hanging="107"/>
      </w:pPr>
      <w:rPr>
        <w:rFonts w:hint="default"/>
      </w:rPr>
    </w:lvl>
    <w:lvl w:ilvl="2">
      <w:start w:val="0"/>
      <w:numFmt w:val="bullet"/>
      <w:lvlText w:val="•"/>
      <w:lvlJc w:val="left"/>
      <w:pPr>
        <w:ind w:left="2329" w:hanging="107"/>
      </w:pPr>
      <w:rPr>
        <w:rFonts w:hint="default"/>
      </w:rPr>
    </w:lvl>
    <w:lvl w:ilvl="3">
      <w:start w:val="0"/>
      <w:numFmt w:val="bullet"/>
      <w:lvlText w:val="•"/>
      <w:lvlJc w:val="left"/>
      <w:pPr>
        <w:ind w:left="3244" w:hanging="107"/>
      </w:pPr>
      <w:rPr>
        <w:rFonts w:hint="default"/>
      </w:rPr>
    </w:lvl>
    <w:lvl w:ilvl="4">
      <w:start w:val="0"/>
      <w:numFmt w:val="bullet"/>
      <w:lvlText w:val="•"/>
      <w:lvlJc w:val="left"/>
      <w:pPr>
        <w:ind w:left="4158" w:hanging="107"/>
      </w:pPr>
      <w:rPr>
        <w:rFonts w:hint="default"/>
      </w:rPr>
    </w:lvl>
    <w:lvl w:ilvl="5">
      <w:start w:val="0"/>
      <w:numFmt w:val="bullet"/>
      <w:lvlText w:val="•"/>
      <w:lvlJc w:val="left"/>
      <w:pPr>
        <w:ind w:left="5073" w:hanging="107"/>
      </w:pPr>
      <w:rPr>
        <w:rFonts w:hint="default"/>
      </w:rPr>
    </w:lvl>
    <w:lvl w:ilvl="6">
      <w:start w:val="0"/>
      <w:numFmt w:val="bullet"/>
      <w:lvlText w:val="•"/>
      <w:lvlJc w:val="left"/>
      <w:pPr>
        <w:ind w:left="5988" w:hanging="107"/>
      </w:pPr>
      <w:rPr>
        <w:rFonts w:hint="default"/>
      </w:rPr>
    </w:lvl>
    <w:lvl w:ilvl="7">
      <w:start w:val="0"/>
      <w:numFmt w:val="bullet"/>
      <w:lvlText w:val="•"/>
      <w:lvlJc w:val="left"/>
      <w:pPr>
        <w:ind w:left="6902" w:hanging="107"/>
      </w:pPr>
      <w:rPr>
        <w:rFonts w:hint="default"/>
      </w:rPr>
    </w:lvl>
    <w:lvl w:ilvl="8">
      <w:start w:val="0"/>
      <w:numFmt w:val="bullet"/>
      <w:lvlText w:val="•"/>
      <w:lvlJc w:val="left"/>
      <w:pPr>
        <w:ind w:left="7817" w:hanging="107"/>
      </w:pPr>
      <w:rPr>
        <w:rFonts w:hint="default"/>
      </w:rPr>
    </w:lvl>
  </w:abstractNum>
  <w:abstractNum w:abstractNumId="10">
    <w:multiLevelType w:val="hybridMultilevel"/>
    <w:lvl w:ilvl="0">
      <w:start w:val="0"/>
      <w:numFmt w:val="bullet"/>
      <w:lvlText w:val="•"/>
      <w:lvlJc w:val="left"/>
      <w:pPr>
        <w:ind w:left="103" w:hanging="233"/>
      </w:pPr>
      <w:rPr>
        <w:rFonts w:hint="default" w:ascii="Arial" w:hAnsi="Arial" w:eastAsia="Arial" w:cs="Arial"/>
        <w:w w:val="99"/>
        <w:sz w:val="17"/>
        <w:szCs w:val="17"/>
      </w:rPr>
    </w:lvl>
    <w:lvl w:ilvl="1">
      <w:start w:val="0"/>
      <w:numFmt w:val="bullet"/>
      <w:lvlText w:val="•"/>
      <w:lvlJc w:val="left"/>
      <w:pPr>
        <w:ind w:left="826" w:hanging="233"/>
      </w:pPr>
      <w:rPr>
        <w:rFonts w:hint="default"/>
      </w:rPr>
    </w:lvl>
    <w:lvl w:ilvl="2">
      <w:start w:val="0"/>
      <w:numFmt w:val="bullet"/>
      <w:lvlText w:val="•"/>
      <w:lvlJc w:val="left"/>
      <w:pPr>
        <w:ind w:left="1552" w:hanging="233"/>
      </w:pPr>
      <w:rPr>
        <w:rFonts w:hint="default"/>
      </w:rPr>
    </w:lvl>
    <w:lvl w:ilvl="3">
      <w:start w:val="0"/>
      <w:numFmt w:val="bullet"/>
      <w:lvlText w:val="•"/>
      <w:lvlJc w:val="left"/>
      <w:pPr>
        <w:ind w:left="2278" w:hanging="233"/>
      </w:pPr>
      <w:rPr>
        <w:rFonts w:hint="default"/>
      </w:rPr>
    </w:lvl>
    <w:lvl w:ilvl="4">
      <w:start w:val="0"/>
      <w:numFmt w:val="bullet"/>
      <w:lvlText w:val="•"/>
      <w:lvlJc w:val="left"/>
      <w:pPr>
        <w:ind w:left="3004" w:hanging="233"/>
      </w:pPr>
      <w:rPr>
        <w:rFonts w:hint="default"/>
      </w:rPr>
    </w:lvl>
    <w:lvl w:ilvl="5">
      <w:start w:val="0"/>
      <w:numFmt w:val="bullet"/>
      <w:lvlText w:val="•"/>
      <w:lvlJc w:val="left"/>
      <w:pPr>
        <w:ind w:left="3730" w:hanging="233"/>
      </w:pPr>
      <w:rPr>
        <w:rFonts w:hint="default"/>
      </w:rPr>
    </w:lvl>
    <w:lvl w:ilvl="6">
      <w:start w:val="0"/>
      <w:numFmt w:val="bullet"/>
      <w:lvlText w:val="•"/>
      <w:lvlJc w:val="left"/>
      <w:pPr>
        <w:ind w:left="4456" w:hanging="233"/>
      </w:pPr>
      <w:rPr>
        <w:rFonts w:hint="default"/>
      </w:rPr>
    </w:lvl>
    <w:lvl w:ilvl="7">
      <w:start w:val="0"/>
      <w:numFmt w:val="bullet"/>
      <w:lvlText w:val="•"/>
      <w:lvlJc w:val="left"/>
      <w:pPr>
        <w:ind w:left="5182" w:hanging="233"/>
      </w:pPr>
      <w:rPr>
        <w:rFonts w:hint="default"/>
      </w:rPr>
    </w:lvl>
    <w:lvl w:ilvl="8">
      <w:start w:val="0"/>
      <w:numFmt w:val="bullet"/>
      <w:lvlText w:val="•"/>
      <w:lvlJc w:val="left"/>
      <w:pPr>
        <w:ind w:left="5908" w:hanging="233"/>
      </w:pPr>
      <w:rPr>
        <w:rFonts w:hint="default"/>
      </w:rPr>
    </w:lvl>
  </w:abstractNum>
  <w:abstractNum w:abstractNumId="9">
    <w:multiLevelType w:val="hybridMultilevel"/>
    <w:lvl w:ilvl="0">
      <w:start w:val="1"/>
      <w:numFmt w:val="decimal"/>
      <w:lvlText w:val="%1"/>
      <w:lvlJc w:val="left"/>
      <w:pPr>
        <w:ind w:left="1031" w:hanging="405"/>
        <w:jc w:val="left"/>
      </w:pPr>
      <w:rPr>
        <w:rFonts w:hint="default"/>
      </w:rPr>
    </w:lvl>
    <w:lvl w:ilvl="1">
      <w:start w:val="2"/>
      <w:numFmt w:val="decimal"/>
      <w:lvlText w:val="%1.%2"/>
      <w:lvlJc w:val="left"/>
      <w:pPr>
        <w:ind w:left="1031" w:hanging="405"/>
        <w:jc w:val="right"/>
      </w:pPr>
      <w:rPr>
        <w:rFonts w:hint="default" w:ascii="Arial" w:hAnsi="Arial" w:eastAsia="Arial" w:cs="Arial"/>
        <w:w w:val="99"/>
        <w:sz w:val="17"/>
        <w:szCs w:val="17"/>
      </w:rPr>
    </w:lvl>
    <w:lvl w:ilvl="2">
      <w:start w:val="4"/>
      <w:numFmt w:val="decimal"/>
      <w:lvlText w:val="%1.%2.%3"/>
      <w:lvlJc w:val="left"/>
      <w:pPr>
        <w:ind w:left="618" w:hanging="441"/>
        <w:jc w:val="left"/>
      </w:pPr>
      <w:rPr>
        <w:rFonts w:hint="default" w:ascii="Arial" w:hAnsi="Arial" w:eastAsia="Arial" w:cs="Arial"/>
        <w:w w:val="99"/>
        <w:sz w:val="17"/>
        <w:szCs w:val="17"/>
      </w:rPr>
    </w:lvl>
    <w:lvl w:ilvl="3">
      <w:start w:val="0"/>
      <w:numFmt w:val="bullet"/>
      <w:lvlText w:val="•"/>
      <w:lvlJc w:val="left"/>
      <w:pPr>
        <w:ind w:left="3004" w:hanging="441"/>
      </w:pPr>
      <w:rPr>
        <w:rFonts w:hint="default"/>
      </w:rPr>
    </w:lvl>
    <w:lvl w:ilvl="4">
      <w:start w:val="0"/>
      <w:numFmt w:val="bullet"/>
      <w:lvlText w:val="•"/>
      <w:lvlJc w:val="left"/>
      <w:pPr>
        <w:ind w:left="3986" w:hanging="441"/>
      </w:pPr>
      <w:rPr>
        <w:rFonts w:hint="default"/>
      </w:rPr>
    </w:lvl>
    <w:lvl w:ilvl="5">
      <w:start w:val="0"/>
      <w:numFmt w:val="bullet"/>
      <w:lvlText w:val="•"/>
      <w:lvlJc w:val="left"/>
      <w:pPr>
        <w:ind w:left="4968" w:hanging="441"/>
      </w:pPr>
      <w:rPr>
        <w:rFonts w:hint="default"/>
      </w:rPr>
    </w:lvl>
    <w:lvl w:ilvl="6">
      <w:start w:val="0"/>
      <w:numFmt w:val="bullet"/>
      <w:lvlText w:val="•"/>
      <w:lvlJc w:val="left"/>
      <w:pPr>
        <w:ind w:left="5951" w:hanging="441"/>
      </w:pPr>
      <w:rPr>
        <w:rFonts w:hint="default"/>
      </w:rPr>
    </w:lvl>
    <w:lvl w:ilvl="7">
      <w:start w:val="0"/>
      <w:numFmt w:val="bullet"/>
      <w:lvlText w:val="•"/>
      <w:lvlJc w:val="left"/>
      <w:pPr>
        <w:ind w:left="6933" w:hanging="441"/>
      </w:pPr>
      <w:rPr>
        <w:rFonts w:hint="default"/>
      </w:rPr>
    </w:lvl>
    <w:lvl w:ilvl="8">
      <w:start w:val="0"/>
      <w:numFmt w:val="bullet"/>
      <w:lvlText w:val="•"/>
      <w:lvlJc w:val="left"/>
      <w:pPr>
        <w:ind w:left="7915" w:hanging="441"/>
      </w:pPr>
      <w:rPr>
        <w:rFonts w:hint="default"/>
      </w:rPr>
    </w:lvl>
  </w:abstractNum>
  <w:abstractNum w:abstractNumId="8">
    <w:multiLevelType w:val="hybridMultilevel"/>
    <w:lvl w:ilvl="0">
      <w:start w:val="21"/>
      <w:numFmt w:val="decimal"/>
      <w:lvlText w:val="%1"/>
      <w:lvlJc w:val="left"/>
      <w:pPr>
        <w:ind w:left="1585" w:hanging="946"/>
        <w:jc w:val="left"/>
      </w:pPr>
      <w:rPr>
        <w:rFonts w:hint="default"/>
      </w:rPr>
    </w:lvl>
    <w:lvl w:ilvl="1">
      <w:start w:val="18"/>
      <w:numFmt w:val="decimal"/>
      <w:lvlText w:val="%1.%2"/>
      <w:lvlJc w:val="left"/>
      <w:pPr>
        <w:ind w:left="1585" w:hanging="946"/>
        <w:jc w:val="left"/>
      </w:pPr>
      <w:rPr>
        <w:rFonts w:hint="default"/>
      </w:rPr>
    </w:lvl>
    <w:lvl w:ilvl="2">
      <w:start w:val="1"/>
      <w:numFmt w:val="decimal"/>
      <w:lvlText w:val="%1.%2.%3"/>
      <w:lvlJc w:val="left"/>
      <w:pPr>
        <w:ind w:left="1585" w:hanging="946"/>
        <w:jc w:val="left"/>
      </w:pPr>
      <w:rPr>
        <w:rFonts w:hint="default"/>
      </w:rPr>
    </w:lvl>
    <w:lvl w:ilvl="3">
      <w:start w:val="1"/>
      <w:numFmt w:val="decimal"/>
      <w:lvlText w:val="%1.%2.%3.%4"/>
      <w:lvlJc w:val="left"/>
      <w:pPr>
        <w:ind w:left="1585" w:hanging="946"/>
        <w:jc w:val="left"/>
      </w:pPr>
      <w:rPr>
        <w:rFonts w:hint="default" w:ascii="Arial" w:hAnsi="Arial" w:eastAsia="Arial" w:cs="Arial"/>
        <w:w w:val="99"/>
        <w:sz w:val="19"/>
        <w:szCs w:val="19"/>
      </w:rPr>
    </w:lvl>
    <w:lvl w:ilvl="4">
      <w:start w:val="0"/>
      <w:numFmt w:val="bullet"/>
      <w:lvlText w:val="•"/>
      <w:lvlJc w:val="left"/>
      <w:pPr>
        <w:ind w:left="4900" w:hanging="946"/>
      </w:pPr>
      <w:rPr>
        <w:rFonts w:hint="default"/>
      </w:rPr>
    </w:lvl>
    <w:lvl w:ilvl="5">
      <w:start w:val="0"/>
      <w:numFmt w:val="bullet"/>
      <w:lvlText w:val="•"/>
      <w:lvlJc w:val="left"/>
      <w:pPr>
        <w:ind w:left="5730" w:hanging="946"/>
      </w:pPr>
      <w:rPr>
        <w:rFonts w:hint="default"/>
      </w:rPr>
    </w:lvl>
    <w:lvl w:ilvl="6">
      <w:start w:val="0"/>
      <w:numFmt w:val="bullet"/>
      <w:lvlText w:val="•"/>
      <w:lvlJc w:val="left"/>
      <w:pPr>
        <w:ind w:left="6560" w:hanging="946"/>
      </w:pPr>
      <w:rPr>
        <w:rFonts w:hint="default"/>
      </w:rPr>
    </w:lvl>
    <w:lvl w:ilvl="7">
      <w:start w:val="0"/>
      <w:numFmt w:val="bullet"/>
      <w:lvlText w:val="•"/>
      <w:lvlJc w:val="left"/>
      <w:pPr>
        <w:ind w:left="7390" w:hanging="946"/>
      </w:pPr>
      <w:rPr>
        <w:rFonts w:hint="default"/>
      </w:rPr>
    </w:lvl>
    <w:lvl w:ilvl="8">
      <w:start w:val="0"/>
      <w:numFmt w:val="bullet"/>
      <w:lvlText w:val="•"/>
      <w:lvlJc w:val="left"/>
      <w:pPr>
        <w:ind w:left="8220" w:hanging="946"/>
      </w:pPr>
      <w:rPr>
        <w:rFonts w:hint="default"/>
      </w:rPr>
    </w:lvl>
  </w:abstractNum>
  <w:abstractNum w:abstractNumId="7">
    <w:multiLevelType w:val="hybridMultilevel"/>
    <w:lvl w:ilvl="0">
      <w:start w:val="1"/>
      <w:numFmt w:val="decimal"/>
      <w:lvlText w:val="%1)"/>
      <w:lvlJc w:val="left"/>
      <w:pPr>
        <w:ind w:left="114" w:hanging="270"/>
        <w:jc w:val="left"/>
      </w:pPr>
      <w:rPr>
        <w:rFonts w:hint="default" w:ascii="Arial" w:hAnsi="Arial" w:eastAsia="Arial" w:cs="Arial"/>
        <w:i/>
        <w:w w:val="99"/>
        <w:sz w:val="19"/>
        <w:szCs w:val="19"/>
      </w:rPr>
    </w:lvl>
    <w:lvl w:ilvl="1">
      <w:start w:val="0"/>
      <w:numFmt w:val="bullet"/>
      <w:lvlText w:val="•"/>
      <w:lvlJc w:val="left"/>
      <w:pPr>
        <w:ind w:left="1094" w:hanging="270"/>
      </w:pPr>
      <w:rPr>
        <w:rFonts w:hint="default"/>
      </w:rPr>
    </w:lvl>
    <w:lvl w:ilvl="2">
      <w:start w:val="0"/>
      <w:numFmt w:val="bullet"/>
      <w:lvlText w:val="•"/>
      <w:lvlJc w:val="left"/>
      <w:pPr>
        <w:ind w:left="2068" w:hanging="270"/>
      </w:pPr>
      <w:rPr>
        <w:rFonts w:hint="default"/>
      </w:rPr>
    </w:lvl>
    <w:lvl w:ilvl="3">
      <w:start w:val="0"/>
      <w:numFmt w:val="bullet"/>
      <w:lvlText w:val="•"/>
      <w:lvlJc w:val="left"/>
      <w:pPr>
        <w:ind w:left="3042" w:hanging="270"/>
      </w:pPr>
      <w:rPr>
        <w:rFonts w:hint="default"/>
      </w:rPr>
    </w:lvl>
    <w:lvl w:ilvl="4">
      <w:start w:val="0"/>
      <w:numFmt w:val="bullet"/>
      <w:lvlText w:val="•"/>
      <w:lvlJc w:val="left"/>
      <w:pPr>
        <w:ind w:left="4016" w:hanging="270"/>
      </w:pPr>
      <w:rPr>
        <w:rFonts w:hint="default"/>
      </w:rPr>
    </w:lvl>
    <w:lvl w:ilvl="5">
      <w:start w:val="0"/>
      <w:numFmt w:val="bullet"/>
      <w:lvlText w:val="•"/>
      <w:lvlJc w:val="left"/>
      <w:pPr>
        <w:ind w:left="4990" w:hanging="270"/>
      </w:pPr>
      <w:rPr>
        <w:rFonts w:hint="default"/>
      </w:rPr>
    </w:lvl>
    <w:lvl w:ilvl="6">
      <w:start w:val="0"/>
      <w:numFmt w:val="bullet"/>
      <w:lvlText w:val="•"/>
      <w:lvlJc w:val="left"/>
      <w:pPr>
        <w:ind w:left="5964" w:hanging="270"/>
      </w:pPr>
      <w:rPr>
        <w:rFonts w:hint="default"/>
      </w:rPr>
    </w:lvl>
    <w:lvl w:ilvl="7">
      <w:start w:val="0"/>
      <w:numFmt w:val="bullet"/>
      <w:lvlText w:val="•"/>
      <w:lvlJc w:val="left"/>
      <w:pPr>
        <w:ind w:left="6938" w:hanging="270"/>
      </w:pPr>
      <w:rPr>
        <w:rFonts w:hint="default"/>
      </w:rPr>
    </w:lvl>
    <w:lvl w:ilvl="8">
      <w:start w:val="0"/>
      <w:numFmt w:val="bullet"/>
      <w:lvlText w:val="•"/>
      <w:lvlJc w:val="left"/>
      <w:pPr>
        <w:ind w:left="7912" w:hanging="270"/>
      </w:pPr>
      <w:rPr>
        <w:rFonts w:hint="default"/>
      </w:rPr>
    </w:lvl>
  </w:abstractNum>
  <w:abstractNum w:abstractNumId="6">
    <w:multiLevelType w:val="hybridMultilevel"/>
    <w:lvl w:ilvl="0">
      <w:start w:val="19"/>
      <w:numFmt w:val="decimal"/>
      <w:lvlText w:val="%1"/>
      <w:lvlJc w:val="left"/>
      <w:pPr>
        <w:ind w:left="114" w:hanging="772"/>
        <w:jc w:val="left"/>
      </w:pPr>
      <w:rPr>
        <w:rFonts w:hint="default"/>
      </w:rPr>
    </w:lvl>
    <w:lvl w:ilvl="1">
      <w:start w:val="101"/>
      <w:numFmt w:val="decimal"/>
      <w:lvlText w:val="%1.%2"/>
      <w:lvlJc w:val="left"/>
      <w:pPr>
        <w:ind w:left="114" w:hanging="772"/>
        <w:jc w:val="left"/>
      </w:pPr>
      <w:rPr>
        <w:rFonts w:hint="default" w:ascii="Arial" w:hAnsi="Arial" w:eastAsia="Arial" w:cs="Arial"/>
        <w:w w:val="99"/>
        <w:sz w:val="19"/>
        <w:szCs w:val="19"/>
      </w:rPr>
    </w:lvl>
    <w:lvl w:ilvl="2">
      <w:start w:val="1"/>
      <w:numFmt w:val="decimal"/>
      <w:lvlText w:val="%1.%2.%3"/>
      <w:lvlJc w:val="left"/>
      <w:pPr>
        <w:ind w:left="118" w:hanging="940"/>
        <w:jc w:val="left"/>
      </w:pPr>
      <w:rPr>
        <w:rFonts w:hint="default" w:ascii="Arial" w:hAnsi="Arial" w:eastAsia="Arial" w:cs="Arial"/>
        <w:w w:val="99"/>
        <w:sz w:val="19"/>
        <w:szCs w:val="19"/>
      </w:rPr>
    </w:lvl>
    <w:lvl w:ilvl="3">
      <w:start w:val="0"/>
      <w:numFmt w:val="bullet"/>
      <w:lvlText w:val="•"/>
      <w:lvlJc w:val="left"/>
      <w:pPr>
        <w:ind w:left="2874" w:hanging="940"/>
      </w:pPr>
      <w:rPr>
        <w:rFonts w:hint="default"/>
      </w:rPr>
    </w:lvl>
    <w:lvl w:ilvl="4">
      <w:start w:val="0"/>
      <w:numFmt w:val="bullet"/>
      <w:lvlText w:val="•"/>
      <w:lvlJc w:val="left"/>
      <w:pPr>
        <w:ind w:left="3792" w:hanging="940"/>
      </w:pPr>
      <w:rPr>
        <w:rFonts w:hint="default"/>
      </w:rPr>
    </w:lvl>
    <w:lvl w:ilvl="5">
      <w:start w:val="0"/>
      <w:numFmt w:val="bullet"/>
      <w:lvlText w:val="•"/>
      <w:lvlJc w:val="left"/>
      <w:pPr>
        <w:ind w:left="4710" w:hanging="940"/>
      </w:pPr>
      <w:rPr>
        <w:rFonts w:hint="default"/>
      </w:rPr>
    </w:lvl>
    <w:lvl w:ilvl="6">
      <w:start w:val="0"/>
      <w:numFmt w:val="bullet"/>
      <w:lvlText w:val="•"/>
      <w:lvlJc w:val="left"/>
      <w:pPr>
        <w:ind w:left="5628" w:hanging="940"/>
      </w:pPr>
      <w:rPr>
        <w:rFonts w:hint="default"/>
      </w:rPr>
    </w:lvl>
    <w:lvl w:ilvl="7">
      <w:start w:val="0"/>
      <w:numFmt w:val="bullet"/>
      <w:lvlText w:val="•"/>
      <w:lvlJc w:val="left"/>
      <w:pPr>
        <w:ind w:left="6546" w:hanging="940"/>
      </w:pPr>
      <w:rPr>
        <w:rFonts w:hint="default"/>
      </w:rPr>
    </w:lvl>
    <w:lvl w:ilvl="8">
      <w:start w:val="0"/>
      <w:numFmt w:val="bullet"/>
      <w:lvlText w:val="•"/>
      <w:lvlJc w:val="left"/>
      <w:pPr>
        <w:ind w:left="7464" w:hanging="940"/>
      </w:pPr>
      <w:rPr>
        <w:rFonts w:hint="default"/>
      </w:rPr>
    </w:lvl>
  </w:abstractNum>
  <w:abstractNum w:abstractNumId="5">
    <w:multiLevelType w:val="hybridMultilevel"/>
    <w:lvl w:ilvl="0">
      <w:start w:val="101"/>
      <w:numFmt w:val="decimal"/>
      <w:lvlText w:val="%1)"/>
      <w:lvlJc w:val="left"/>
      <w:pPr>
        <w:ind w:left="1149" w:hanging="513"/>
        <w:jc w:val="left"/>
      </w:pPr>
      <w:rPr>
        <w:rFonts w:hint="default" w:ascii="Arial" w:hAnsi="Arial" w:eastAsia="Arial" w:cs="Arial"/>
        <w:w w:val="99"/>
        <w:sz w:val="19"/>
        <w:szCs w:val="19"/>
      </w:rPr>
    </w:lvl>
    <w:lvl w:ilvl="1">
      <w:start w:val="0"/>
      <w:numFmt w:val="bullet"/>
      <w:lvlText w:val="•"/>
      <w:lvlJc w:val="left"/>
      <w:pPr>
        <w:ind w:left="2012" w:hanging="513"/>
      </w:pPr>
      <w:rPr>
        <w:rFonts w:hint="default"/>
      </w:rPr>
    </w:lvl>
    <w:lvl w:ilvl="2">
      <w:start w:val="0"/>
      <w:numFmt w:val="bullet"/>
      <w:lvlText w:val="•"/>
      <w:lvlJc w:val="left"/>
      <w:pPr>
        <w:ind w:left="2884" w:hanging="513"/>
      </w:pPr>
      <w:rPr>
        <w:rFonts w:hint="default"/>
      </w:rPr>
    </w:lvl>
    <w:lvl w:ilvl="3">
      <w:start w:val="0"/>
      <w:numFmt w:val="bullet"/>
      <w:lvlText w:val="•"/>
      <w:lvlJc w:val="left"/>
      <w:pPr>
        <w:ind w:left="3756" w:hanging="513"/>
      </w:pPr>
      <w:rPr>
        <w:rFonts w:hint="default"/>
      </w:rPr>
    </w:lvl>
    <w:lvl w:ilvl="4">
      <w:start w:val="0"/>
      <w:numFmt w:val="bullet"/>
      <w:lvlText w:val="•"/>
      <w:lvlJc w:val="left"/>
      <w:pPr>
        <w:ind w:left="4628" w:hanging="513"/>
      </w:pPr>
      <w:rPr>
        <w:rFonts w:hint="default"/>
      </w:rPr>
    </w:lvl>
    <w:lvl w:ilvl="5">
      <w:start w:val="0"/>
      <w:numFmt w:val="bullet"/>
      <w:lvlText w:val="•"/>
      <w:lvlJc w:val="left"/>
      <w:pPr>
        <w:ind w:left="5500" w:hanging="513"/>
      </w:pPr>
      <w:rPr>
        <w:rFonts w:hint="default"/>
      </w:rPr>
    </w:lvl>
    <w:lvl w:ilvl="6">
      <w:start w:val="0"/>
      <w:numFmt w:val="bullet"/>
      <w:lvlText w:val="•"/>
      <w:lvlJc w:val="left"/>
      <w:pPr>
        <w:ind w:left="6372" w:hanging="513"/>
      </w:pPr>
      <w:rPr>
        <w:rFonts w:hint="default"/>
      </w:rPr>
    </w:lvl>
    <w:lvl w:ilvl="7">
      <w:start w:val="0"/>
      <w:numFmt w:val="bullet"/>
      <w:lvlText w:val="•"/>
      <w:lvlJc w:val="left"/>
      <w:pPr>
        <w:ind w:left="7244" w:hanging="513"/>
      </w:pPr>
      <w:rPr>
        <w:rFonts w:hint="default"/>
      </w:rPr>
    </w:lvl>
    <w:lvl w:ilvl="8">
      <w:start w:val="0"/>
      <w:numFmt w:val="bullet"/>
      <w:lvlText w:val="•"/>
      <w:lvlJc w:val="left"/>
      <w:pPr>
        <w:ind w:left="8116" w:hanging="513"/>
      </w:pPr>
      <w:rPr>
        <w:rFonts w:hint="default"/>
      </w:rPr>
    </w:lvl>
  </w:abstractNum>
  <w:abstractNum w:abstractNumId="4">
    <w:multiLevelType w:val="hybridMultilevel"/>
    <w:lvl w:ilvl="0">
      <w:start w:val="101"/>
      <w:numFmt w:val="decimal"/>
      <w:lvlText w:val="%1)"/>
      <w:lvlJc w:val="left"/>
      <w:pPr>
        <w:ind w:left="1140" w:hanging="505"/>
        <w:jc w:val="left"/>
      </w:pPr>
      <w:rPr>
        <w:rFonts w:hint="default" w:ascii="Arial" w:hAnsi="Arial" w:eastAsia="Arial" w:cs="Arial"/>
        <w:w w:val="99"/>
        <w:sz w:val="19"/>
        <w:szCs w:val="19"/>
      </w:rPr>
    </w:lvl>
    <w:lvl w:ilvl="1">
      <w:start w:val="0"/>
      <w:numFmt w:val="bullet"/>
      <w:lvlText w:val="•"/>
      <w:lvlJc w:val="left"/>
      <w:pPr>
        <w:ind w:left="2012" w:hanging="505"/>
      </w:pPr>
      <w:rPr>
        <w:rFonts w:hint="default"/>
      </w:rPr>
    </w:lvl>
    <w:lvl w:ilvl="2">
      <w:start w:val="0"/>
      <w:numFmt w:val="bullet"/>
      <w:lvlText w:val="•"/>
      <w:lvlJc w:val="left"/>
      <w:pPr>
        <w:ind w:left="2884" w:hanging="505"/>
      </w:pPr>
      <w:rPr>
        <w:rFonts w:hint="default"/>
      </w:rPr>
    </w:lvl>
    <w:lvl w:ilvl="3">
      <w:start w:val="0"/>
      <w:numFmt w:val="bullet"/>
      <w:lvlText w:val="•"/>
      <w:lvlJc w:val="left"/>
      <w:pPr>
        <w:ind w:left="3756" w:hanging="505"/>
      </w:pPr>
      <w:rPr>
        <w:rFonts w:hint="default"/>
      </w:rPr>
    </w:lvl>
    <w:lvl w:ilvl="4">
      <w:start w:val="0"/>
      <w:numFmt w:val="bullet"/>
      <w:lvlText w:val="•"/>
      <w:lvlJc w:val="left"/>
      <w:pPr>
        <w:ind w:left="4628" w:hanging="505"/>
      </w:pPr>
      <w:rPr>
        <w:rFonts w:hint="default"/>
      </w:rPr>
    </w:lvl>
    <w:lvl w:ilvl="5">
      <w:start w:val="0"/>
      <w:numFmt w:val="bullet"/>
      <w:lvlText w:val="•"/>
      <w:lvlJc w:val="left"/>
      <w:pPr>
        <w:ind w:left="5500" w:hanging="505"/>
      </w:pPr>
      <w:rPr>
        <w:rFonts w:hint="default"/>
      </w:rPr>
    </w:lvl>
    <w:lvl w:ilvl="6">
      <w:start w:val="0"/>
      <w:numFmt w:val="bullet"/>
      <w:lvlText w:val="•"/>
      <w:lvlJc w:val="left"/>
      <w:pPr>
        <w:ind w:left="6372" w:hanging="505"/>
      </w:pPr>
      <w:rPr>
        <w:rFonts w:hint="default"/>
      </w:rPr>
    </w:lvl>
    <w:lvl w:ilvl="7">
      <w:start w:val="0"/>
      <w:numFmt w:val="bullet"/>
      <w:lvlText w:val="•"/>
      <w:lvlJc w:val="left"/>
      <w:pPr>
        <w:ind w:left="7244" w:hanging="505"/>
      </w:pPr>
      <w:rPr>
        <w:rFonts w:hint="default"/>
      </w:rPr>
    </w:lvl>
    <w:lvl w:ilvl="8">
      <w:start w:val="0"/>
      <w:numFmt w:val="bullet"/>
      <w:lvlText w:val="•"/>
      <w:lvlJc w:val="left"/>
      <w:pPr>
        <w:ind w:left="8116" w:hanging="505"/>
      </w:pPr>
      <w:rPr>
        <w:rFonts w:hint="default"/>
      </w:rPr>
    </w:lvl>
  </w:abstractNum>
  <w:abstractNum w:abstractNumId="3">
    <w:multiLevelType w:val="hybridMultilevel"/>
    <w:lvl w:ilvl="0">
      <w:start w:val="1"/>
      <w:numFmt w:val="lowerLetter"/>
      <w:lvlText w:val="%1)"/>
      <w:lvlJc w:val="left"/>
      <w:pPr>
        <w:ind w:left="114" w:hanging="476"/>
        <w:jc w:val="left"/>
      </w:pPr>
      <w:rPr>
        <w:rFonts w:hint="default"/>
        <w:w w:val="99"/>
      </w:rPr>
    </w:lvl>
    <w:lvl w:ilvl="1">
      <w:start w:val="0"/>
      <w:numFmt w:val="bullet"/>
      <w:lvlText w:val="•"/>
      <w:lvlJc w:val="left"/>
      <w:pPr>
        <w:ind w:left="1094" w:hanging="476"/>
      </w:pPr>
      <w:rPr>
        <w:rFonts w:hint="default"/>
      </w:rPr>
    </w:lvl>
    <w:lvl w:ilvl="2">
      <w:start w:val="0"/>
      <w:numFmt w:val="bullet"/>
      <w:lvlText w:val="•"/>
      <w:lvlJc w:val="left"/>
      <w:pPr>
        <w:ind w:left="2068" w:hanging="476"/>
      </w:pPr>
      <w:rPr>
        <w:rFonts w:hint="default"/>
      </w:rPr>
    </w:lvl>
    <w:lvl w:ilvl="3">
      <w:start w:val="0"/>
      <w:numFmt w:val="bullet"/>
      <w:lvlText w:val="•"/>
      <w:lvlJc w:val="left"/>
      <w:pPr>
        <w:ind w:left="3042" w:hanging="476"/>
      </w:pPr>
      <w:rPr>
        <w:rFonts w:hint="default"/>
      </w:rPr>
    </w:lvl>
    <w:lvl w:ilvl="4">
      <w:start w:val="0"/>
      <w:numFmt w:val="bullet"/>
      <w:lvlText w:val="•"/>
      <w:lvlJc w:val="left"/>
      <w:pPr>
        <w:ind w:left="4016" w:hanging="476"/>
      </w:pPr>
      <w:rPr>
        <w:rFonts w:hint="default"/>
      </w:rPr>
    </w:lvl>
    <w:lvl w:ilvl="5">
      <w:start w:val="0"/>
      <w:numFmt w:val="bullet"/>
      <w:lvlText w:val="•"/>
      <w:lvlJc w:val="left"/>
      <w:pPr>
        <w:ind w:left="4990" w:hanging="476"/>
      </w:pPr>
      <w:rPr>
        <w:rFonts w:hint="default"/>
      </w:rPr>
    </w:lvl>
    <w:lvl w:ilvl="6">
      <w:start w:val="0"/>
      <w:numFmt w:val="bullet"/>
      <w:lvlText w:val="•"/>
      <w:lvlJc w:val="left"/>
      <w:pPr>
        <w:ind w:left="5964" w:hanging="476"/>
      </w:pPr>
      <w:rPr>
        <w:rFonts w:hint="default"/>
      </w:rPr>
    </w:lvl>
    <w:lvl w:ilvl="7">
      <w:start w:val="0"/>
      <w:numFmt w:val="bullet"/>
      <w:lvlText w:val="•"/>
      <w:lvlJc w:val="left"/>
      <w:pPr>
        <w:ind w:left="6938" w:hanging="476"/>
      </w:pPr>
      <w:rPr>
        <w:rFonts w:hint="default"/>
      </w:rPr>
    </w:lvl>
    <w:lvl w:ilvl="8">
      <w:start w:val="0"/>
      <w:numFmt w:val="bullet"/>
      <w:lvlText w:val="•"/>
      <w:lvlJc w:val="left"/>
      <w:pPr>
        <w:ind w:left="7912" w:hanging="476"/>
      </w:pPr>
      <w:rPr>
        <w:rFonts w:hint="default"/>
      </w:rPr>
    </w:lvl>
  </w:abstractNum>
  <w:abstractNum w:abstractNumId="2">
    <w:multiLevelType w:val="hybridMultilevel"/>
    <w:lvl w:ilvl="0">
      <w:start w:val="0"/>
      <w:numFmt w:val="bullet"/>
      <w:lvlText w:val="•"/>
      <w:lvlJc w:val="left"/>
      <w:pPr>
        <w:ind w:left="114" w:hanging="171"/>
      </w:pPr>
      <w:rPr>
        <w:rFonts w:hint="default" w:ascii="Arial" w:hAnsi="Arial" w:eastAsia="Arial" w:cs="Arial"/>
        <w:w w:val="99"/>
        <w:sz w:val="19"/>
        <w:szCs w:val="19"/>
      </w:rPr>
    </w:lvl>
    <w:lvl w:ilvl="1">
      <w:start w:val="0"/>
      <w:numFmt w:val="bullet"/>
      <w:lvlText w:val="•"/>
      <w:lvlJc w:val="left"/>
      <w:pPr>
        <w:ind w:left="1094" w:hanging="171"/>
      </w:pPr>
      <w:rPr>
        <w:rFonts w:hint="default"/>
      </w:rPr>
    </w:lvl>
    <w:lvl w:ilvl="2">
      <w:start w:val="0"/>
      <w:numFmt w:val="bullet"/>
      <w:lvlText w:val="•"/>
      <w:lvlJc w:val="left"/>
      <w:pPr>
        <w:ind w:left="2068" w:hanging="171"/>
      </w:pPr>
      <w:rPr>
        <w:rFonts w:hint="default"/>
      </w:rPr>
    </w:lvl>
    <w:lvl w:ilvl="3">
      <w:start w:val="0"/>
      <w:numFmt w:val="bullet"/>
      <w:lvlText w:val="•"/>
      <w:lvlJc w:val="left"/>
      <w:pPr>
        <w:ind w:left="3042" w:hanging="171"/>
      </w:pPr>
      <w:rPr>
        <w:rFonts w:hint="default"/>
      </w:rPr>
    </w:lvl>
    <w:lvl w:ilvl="4">
      <w:start w:val="0"/>
      <w:numFmt w:val="bullet"/>
      <w:lvlText w:val="•"/>
      <w:lvlJc w:val="left"/>
      <w:pPr>
        <w:ind w:left="4016" w:hanging="171"/>
      </w:pPr>
      <w:rPr>
        <w:rFonts w:hint="default"/>
      </w:rPr>
    </w:lvl>
    <w:lvl w:ilvl="5">
      <w:start w:val="0"/>
      <w:numFmt w:val="bullet"/>
      <w:lvlText w:val="•"/>
      <w:lvlJc w:val="left"/>
      <w:pPr>
        <w:ind w:left="4990" w:hanging="171"/>
      </w:pPr>
      <w:rPr>
        <w:rFonts w:hint="default"/>
      </w:rPr>
    </w:lvl>
    <w:lvl w:ilvl="6">
      <w:start w:val="0"/>
      <w:numFmt w:val="bullet"/>
      <w:lvlText w:val="•"/>
      <w:lvlJc w:val="left"/>
      <w:pPr>
        <w:ind w:left="5964" w:hanging="171"/>
      </w:pPr>
      <w:rPr>
        <w:rFonts w:hint="default"/>
      </w:rPr>
    </w:lvl>
    <w:lvl w:ilvl="7">
      <w:start w:val="0"/>
      <w:numFmt w:val="bullet"/>
      <w:lvlText w:val="•"/>
      <w:lvlJc w:val="left"/>
      <w:pPr>
        <w:ind w:left="6938" w:hanging="171"/>
      </w:pPr>
      <w:rPr>
        <w:rFonts w:hint="default"/>
      </w:rPr>
    </w:lvl>
    <w:lvl w:ilvl="8">
      <w:start w:val="0"/>
      <w:numFmt w:val="bullet"/>
      <w:lvlText w:val="•"/>
      <w:lvlJc w:val="left"/>
      <w:pPr>
        <w:ind w:left="7912" w:hanging="171"/>
      </w:pPr>
      <w:rPr>
        <w:rFonts w:hint="default"/>
      </w:rPr>
    </w:lvl>
  </w:abstractNum>
  <w:abstractNum w:abstractNumId="1">
    <w:multiLevelType w:val="hybridMultilevel"/>
    <w:lvl w:ilvl="0">
      <w:start w:val="1"/>
      <w:numFmt w:val="decimal"/>
      <w:lvlText w:val="%1"/>
      <w:lvlJc w:val="left"/>
      <w:pPr>
        <w:ind w:left="338" w:hanging="207"/>
        <w:jc w:val="left"/>
      </w:pPr>
      <w:rPr>
        <w:rFonts w:hint="default" w:ascii="Arial" w:hAnsi="Arial" w:eastAsia="Arial" w:cs="Arial"/>
        <w:w w:val="99"/>
        <w:sz w:val="19"/>
        <w:szCs w:val="19"/>
      </w:rPr>
    </w:lvl>
    <w:lvl w:ilvl="1">
      <w:start w:val="1"/>
      <w:numFmt w:val="decimal"/>
      <w:lvlText w:val="%2"/>
      <w:lvlJc w:val="left"/>
      <w:pPr>
        <w:ind w:left="890" w:hanging="262"/>
        <w:jc w:val="left"/>
      </w:pPr>
      <w:rPr>
        <w:rFonts w:hint="default" w:ascii="Arial" w:hAnsi="Arial" w:eastAsia="Arial" w:cs="Arial"/>
        <w:b/>
        <w:bCs/>
        <w:w w:val="99"/>
        <w:sz w:val="24"/>
        <w:szCs w:val="24"/>
      </w:rPr>
    </w:lvl>
    <w:lvl w:ilvl="2">
      <w:start w:val="101"/>
      <w:numFmt w:val="decimal"/>
      <w:lvlText w:val="%2.%3"/>
      <w:lvlJc w:val="left"/>
      <w:pPr>
        <w:ind w:left="116" w:hanging="662"/>
        <w:jc w:val="left"/>
      </w:pPr>
      <w:rPr>
        <w:rFonts w:hint="default" w:ascii="Arial" w:hAnsi="Arial" w:eastAsia="Arial" w:cs="Arial"/>
        <w:w w:val="99"/>
        <w:sz w:val="19"/>
        <w:szCs w:val="19"/>
      </w:rPr>
    </w:lvl>
    <w:lvl w:ilvl="3">
      <w:start w:val="0"/>
      <w:numFmt w:val="bullet"/>
      <w:lvlText w:val="•"/>
      <w:lvlJc w:val="left"/>
      <w:pPr>
        <w:ind w:left="1950" w:hanging="662"/>
      </w:pPr>
      <w:rPr>
        <w:rFonts w:hint="default"/>
      </w:rPr>
    </w:lvl>
    <w:lvl w:ilvl="4">
      <w:start w:val="0"/>
      <w:numFmt w:val="bullet"/>
      <w:lvlText w:val="•"/>
      <w:lvlJc w:val="left"/>
      <w:pPr>
        <w:ind w:left="3000" w:hanging="662"/>
      </w:pPr>
      <w:rPr>
        <w:rFonts w:hint="default"/>
      </w:rPr>
    </w:lvl>
    <w:lvl w:ilvl="5">
      <w:start w:val="0"/>
      <w:numFmt w:val="bullet"/>
      <w:lvlText w:val="•"/>
      <w:lvlJc w:val="left"/>
      <w:pPr>
        <w:ind w:left="4050" w:hanging="662"/>
      </w:pPr>
      <w:rPr>
        <w:rFonts w:hint="default"/>
      </w:rPr>
    </w:lvl>
    <w:lvl w:ilvl="6">
      <w:start w:val="0"/>
      <w:numFmt w:val="bullet"/>
      <w:lvlText w:val="•"/>
      <w:lvlJc w:val="left"/>
      <w:pPr>
        <w:ind w:left="5100" w:hanging="662"/>
      </w:pPr>
      <w:rPr>
        <w:rFonts w:hint="default"/>
      </w:rPr>
    </w:lvl>
    <w:lvl w:ilvl="7">
      <w:start w:val="0"/>
      <w:numFmt w:val="bullet"/>
      <w:lvlText w:val="•"/>
      <w:lvlJc w:val="left"/>
      <w:pPr>
        <w:ind w:left="6150" w:hanging="662"/>
      </w:pPr>
      <w:rPr>
        <w:rFonts w:hint="default"/>
      </w:rPr>
    </w:lvl>
    <w:lvl w:ilvl="8">
      <w:start w:val="0"/>
      <w:numFmt w:val="bullet"/>
      <w:lvlText w:val="•"/>
      <w:lvlJc w:val="left"/>
      <w:pPr>
        <w:ind w:left="7200" w:hanging="662"/>
      </w:pPr>
      <w:rPr>
        <w:rFonts w:hint="default"/>
      </w:rPr>
    </w:lvl>
  </w:abstractNum>
  <w:abstractNum w:abstractNumId="0">
    <w:multiLevelType w:val="hybridMultilevel"/>
    <w:lvl w:ilvl="0">
      <w:start w:val="1"/>
      <w:numFmt w:val="decimal"/>
      <w:lvlText w:val="%1"/>
      <w:lvlJc w:val="left"/>
      <w:pPr>
        <w:ind w:left="134" w:hanging="327"/>
        <w:jc w:val="left"/>
      </w:pPr>
      <w:rPr>
        <w:rFonts w:hint="default" w:ascii="Arial" w:hAnsi="Arial" w:eastAsia="Arial" w:cs="Arial"/>
        <w:w w:val="99"/>
        <w:sz w:val="19"/>
        <w:szCs w:val="19"/>
      </w:rPr>
    </w:lvl>
    <w:lvl w:ilvl="1">
      <w:start w:val="0"/>
      <w:numFmt w:val="bullet"/>
      <w:lvlText w:val="•"/>
      <w:lvlJc w:val="left"/>
      <w:pPr>
        <w:ind w:left="1118" w:hanging="327"/>
      </w:pPr>
      <w:rPr>
        <w:rFonts w:hint="default"/>
      </w:rPr>
    </w:lvl>
    <w:lvl w:ilvl="2">
      <w:start w:val="0"/>
      <w:numFmt w:val="bullet"/>
      <w:lvlText w:val="•"/>
      <w:lvlJc w:val="left"/>
      <w:pPr>
        <w:ind w:left="2096" w:hanging="327"/>
      </w:pPr>
      <w:rPr>
        <w:rFonts w:hint="default"/>
      </w:rPr>
    </w:lvl>
    <w:lvl w:ilvl="3">
      <w:start w:val="0"/>
      <w:numFmt w:val="bullet"/>
      <w:lvlText w:val="•"/>
      <w:lvlJc w:val="left"/>
      <w:pPr>
        <w:ind w:left="3074" w:hanging="327"/>
      </w:pPr>
      <w:rPr>
        <w:rFonts w:hint="default"/>
      </w:rPr>
    </w:lvl>
    <w:lvl w:ilvl="4">
      <w:start w:val="0"/>
      <w:numFmt w:val="bullet"/>
      <w:lvlText w:val="•"/>
      <w:lvlJc w:val="left"/>
      <w:pPr>
        <w:ind w:left="4052" w:hanging="327"/>
      </w:pPr>
      <w:rPr>
        <w:rFonts w:hint="default"/>
      </w:rPr>
    </w:lvl>
    <w:lvl w:ilvl="5">
      <w:start w:val="0"/>
      <w:numFmt w:val="bullet"/>
      <w:lvlText w:val="•"/>
      <w:lvlJc w:val="left"/>
      <w:pPr>
        <w:ind w:left="5030" w:hanging="327"/>
      </w:pPr>
      <w:rPr>
        <w:rFonts w:hint="default"/>
      </w:rPr>
    </w:lvl>
    <w:lvl w:ilvl="6">
      <w:start w:val="0"/>
      <w:numFmt w:val="bullet"/>
      <w:lvlText w:val="•"/>
      <w:lvlJc w:val="left"/>
      <w:pPr>
        <w:ind w:left="6008" w:hanging="327"/>
      </w:pPr>
      <w:rPr>
        <w:rFonts w:hint="default"/>
      </w:rPr>
    </w:lvl>
    <w:lvl w:ilvl="7">
      <w:start w:val="0"/>
      <w:numFmt w:val="bullet"/>
      <w:lvlText w:val="•"/>
      <w:lvlJc w:val="left"/>
      <w:pPr>
        <w:ind w:left="6986" w:hanging="327"/>
      </w:pPr>
      <w:rPr>
        <w:rFonts w:hint="default"/>
      </w:rPr>
    </w:lvl>
    <w:lvl w:ilvl="8">
      <w:start w:val="0"/>
      <w:numFmt w:val="bullet"/>
      <w:lvlText w:val="•"/>
      <w:lvlJc w:val="left"/>
      <w:pPr>
        <w:ind w:left="7964" w:hanging="327"/>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5"/>
      <w:ind w:left="455" w:hanging="342"/>
    </w:pPr>
    <w:rPr>
      <w:rFonts w:ascii="Arial" w:hAnsi="Arial" w:eastAsia="Arial" w:cs="Arial"/>
      <w:sz w:val="19"/>
      <w:szCs w:val="19"/>
    </w:rPr>
  </w:style>
  <w:style w:styleId="TOC2" w:type="paragraph">
    <w:name w:val="TOC 2"/>
    <w:basedOn w:val="Normal"/>
    <w:uiPriority w:val="1"/>
    <w:qFormat/>
    <w:pPr>
      <w:spacing w:before="51"/>
      <w:ind w:left="1554"/>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032" w:hanging="396"/>
      <w:outlineLvl w:val="1"/>
    </w:pPr>
    <w:rPr>
      <w:rFonts w:ascii="Arial" w:hAnsi="Arial" w:eastAsia="Arial" w:cs="Arial"/>
      <w:b/>
      <w:bCs/>
      <w:sz w:val="24"/>
      <w:szCs w:val="24"/>
    </w:rPr>
  </w:style>
  <w:style w:styleId="ListParagraph" w:type="paragraph">
    <w:name w:val="List Paragraph"/>
    <w:basedOn w:val="Normal"/>
    <w:uiPriority w:val="1"/>
    <w:qFormat/>
    <w:pPr>
      <w:ind w:left="114" w:hanging="396"/>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yperlink" Target="http://www.gost.ru/"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footer" Target="footer2.xml"/><Relationship Id="rId18" Type="http://schemas.openxmlformats.org/officeDocument/2006/relationships/hyperlink" Target="http://www.90slinra.1u/" TargetMode="External"/><Relationship Id="rId1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2018-10-18T14:13:11Z</dcterms:created>
  <dcterms:modified xsi:type="dcterms:W3CDTF">2018-10-18T14:13:11Z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2017-05-28T00:00:00Z</vt:filetime>
  </property>
  <property fmtid="{D5CDD505-2E9C-101B-9397-08002B2CF9AE}" pid="3" name="Creator">
    <vt:lpwstr>PDFsharp 1.32.3057-g (www.pdfsharp.net)</vt:lpwstr>
  </property>
  <property fmtid="{D5CDD505-2E9C-101B-9397-08002B2CF9AE}" pid="4" name="LastSaved">
    <vt:filetime>2018-10-18T00:00:00Z</vt:filetime>
  </property>
</Properties>
</file>